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06B1" w:rsidRPr="00B30DF9" w:rsidRDefault="004D06B1" w:rsidP="00B30DF9">
      <w:pPr>
        <w:spacing w:after="120" w:line="360" w:lineRule="auto"/>
        <w:jc w:val="center"/>
        <w:rPr>
          <w:rFonts w:ascii="FrankRuehl" w:hAnsi="FrankRuehl" w:cs="FrankRuehl"/>
          <w:b/>
          <w:bCs/>
          <w:color w:val="17365D" w:themeColor="text2" w:themeShade="BF"/>
          <w:sz w:val="52"/>
          <w:szCs w:val="52"/>
          <w:rtl/>
        </w:rPr>
      </w:pPr>
      <w:bookmarkStart w:id="0" w:name="_GoBack"/>
      <w:bookmarkEnd w:id="0"/>
      <w:r w:rsidRPr="00B30DF9">
        <w:rPr>
          <w:rFonts w:ascii="FrankRuehl" w:hAnsi="FrankRuehl" w:cs="FrankRuehl"/>
          <w:b/>
          <w:bCs/>
          <w:color w:val="17365D" w:themeColor="text2" w:themeShade="BF"/>
          <w:sz w:val="52"/>
          <w:szCs w:val="52"/>
          <w:rtl/>
        </w:rPr>
        <w:t>תקציר</w:t>
      </w:r>
      <w:r w:rsidR="00630366" w:rsidRPr="00B30DF9">
        <w:rPr>
          <w:rFonts w:ascii="FrankRuehl" w:hAnsi="FrankRuehl" w:cs="FrankRuehl"/>
          <w:b/>
          <w:bCs/>
          <w:color w:val="17365D" w:themeColor="text2" w:themeShade="BF"/>
          <w:sz w:val="52"/>
          <w:szCs w:val="52"/>
          <w:rtl/>
        </w:rPr>
        <w:t xml:space="preserve"> פסק</w:t>
      </w:r>
      <w:r w:rsidR="00630366" w:rsidRPr="00B30DF9">
        <w:rPr>
          <w:rFonts w:ascii="FrankRuehl" w:hAnsi="FrankRuehl" w:cs="FrankRuehl" w:hint="cs"/>
          <w:b/>
          <w:bCs/>
          <w:color w:val="17365D" w:themeColor="text2" w:themeShade="BF"/>
          <w:sz w:val="52"/>
          <w:szCs w:val="52"/>
          <w:rtl/>
        </w:rPr>
        <w:t>-</w:t>
      </w:r>
      <w:r w:rsidRPr="00B30DF9">
        <w:rPr>
          <w:rFonts w:ascii="FrankRuehl" w:hAnsi="FrankRuehl" w:cs="FrankRuehl"/>
          <w:b/>
          <w:bCs/>
          <w:color w:val="17365D" w:themeColor="text2" w:themeShade="BF"/>
          <w:sz w:val="52"/>
          <w:szCs w:val="52"/>
          <w:rtl/>
        </w:rPr>
        <w:t>דין</w:t>
      </w:r>
    </w:p>
    <w:p w:rsidR="004D06B1" w:rsidRPr="00B30DF9" w:rsidRDefault="00B30DF9" w:rsidP="00B30DF9">
      <w:pPr>
        <w:spacing w:after="120"/>
        <w:jc w:val="center"/>
        <w:rPr>
          <w:rFonts w:ascii="FrankRuehl" w:hAnsi="FrankRuehl" w:cs="FrankRuehl"/>
          <w:b/>
          <w:bCs/>
          <w:color w:val="17365D" w:themeColor="text2" w:themeShade="BF"/>
          <w:sz w:val="28"/>
          <w:szCs w:val="28"/>
          <w:rtl/>
        </w:rPr>
      </w:pPr>
      <w:r w:rsidRPr="00B30DF9">
        <w:rPr>
          <w:rFonts w:ascii="FrankRuehl" w:hAnsi="FrankRuehl" w:cs="FrankRuehl" w:hint="cs"/>
          <w:b/>
          <w:bCs/>
          <w:color w:val="17365D" w:themeColor="text2" w:themeShade="BF"/>
          <w:sz w:val="28"/>
          <w:szCs w:val="28"/>
          <w:rtl/>
        </w:rPr>
        <w:t>תמ"ש</w:t>
      </w:r>
      <w:r w:rsidR="00530B57" w:rsidRPr="00B30DF9">
        <w:rPr>
          <w:rFonts w:ascii="FrankRuehl" w:hAnsi="FrankRuehl" w:cs="FrankRuehl" w:hint="cs"/>
          <w:b/>
          <w:bCs/>
          <w:color w:val="17365D" w:themeColor="text2" w:themeShade="BF"/>
          <w:sz w:val="28"/>
          <w:szCs w:val="28"/>
          <w:rtl/>
        </w:rPr>
        <w:t xml:space="preserve"> </w:t>
      </w:r>
      <w:r w:rsidRPr="00B30DF9">
        <w:rPr>
          <w:rFonts w:ascii="FrankRuehl" w:hAnsi="FrankRuehl" w:cs="FrankRuehl" w:hint="cs"/>
          <w:b/>
          <w:bCs/>
          <w:color w:val="17365D" w:themeColor="text2" w:themeShade="BF"/>
          <w:sz w:val="28"/>
          <w:szCs w:val="28"/>
          <w:rtl/>
        </w:rPr>
        <w:t xml:space="preserve">26703-12-13 פלונית </w:t>
      </w:r>
      <w:r w:rsidR="00460FA3" w:rsidRPr="00B30DF9">
        <w:rPr>
          <w:rFonts w:ascii="FrankRuehl" w:hAnsi="FrankRuehl" w:cs="FrankRuehl" w:hint="cs"/>
          <w:b/>
          <w:bCs/>
          <w:color w:val="17365D" w:themeColor="text2" w:themeShade="BF"/>
          <w:sz w:val="28"/>
          <w:szCs w:val="28"/>
          <w:rtl/>
        </w:rPr>
        <w:t xml:space="preserve">נ' </w:t>
      </w:r>
      <w:r w:rsidRPr="00B30DF9">
        <w:rPr>
          <w:rFonts w:ascii="FrankRuehl" w:hAnsi="FrankRuehl" w:cs="FrankRuehl" w:hint="cs"/>
          <w:b/>
          <w:bCs/>
          <w:color w:val="17365D" w:themeColor="text2" w:themeShade="BF"/>
          <w:sz w:val="28"/>
          <w:szCs w:val="28"/>
          <w:rtl/>
        </w:rPr>
        <w:t>פלוני</w:t>
      </w:r>
    </w:p>
    <w:p w:rsidR="00FE5C78" w:rsidRPr="00B30DF9" w:rsidRDefault="00630366" w:rsidP="00B30DF9">
      <w:pPr>
        <w:spacing w:after="120"/>
        <w:jc w:val="center"/>
        <w:rPr>
          <w:rFonts w:ascii="FrankRuehl" w:hAnsi="FrankRuehl" w:cs="FrankRuehl"/>
          <w:b/>
          <w:bCs/>
          <w:color w:val="17365D" w:themeColor="text2" w:themeShade="BF"/>
          <w:sz w:val="28"/>
          <w:szCs w:val="28"/>
          <w:rtl/>
        </w:rPr>
      </w:pPr>
      <w:r w:rsidRPr="00B30DF9">
        <w:rPr>
          <w:rFonts w:ascii="FrankRuehl" w:hAnsi="FrankRuehl" w:cs="FrankRuehl"/>
          <w:b/>
          <w:bCs/>
          <w:color w:val="17365D" w:themeColor="text2" w:themeShade="BF"/>
          <w:sz w:val="28"/>
          <w:szCs w:val="28"/>
          <w:rtl/>
        </w:rPr>
        <w:t xml:space="preserve">כבוד השופטת </w:t>
      </w:r>
      <w:r w:rsidR="00B30DF9" w:rsidRPr="00B30DF9">
        <w:rPr>
          <w:rFonts w:ascii="FrankRuehl" w:hAnsi="FrankRuehl" w:cs="FrankRuehl" w:hint="cs"/>
          <w:b/>
          <w:bCs/>
          <w:color w:val="17365D" w:themeColor="text2" w:themeShade="BF"/>
          <w:sz w:val="28"/>
          <w:szCs w:val="28"/>
          <w:rtl/>
        </w:rPr>
        <w:t>ורד שביט-פינקלשטיין</w:t>
      </w:r>
    </w:p>
    <w:p w:rsidR="00630366" w:rsidRPr="00BB5080" w:rsidRDefault="00630366" w:rsidP="00630366">
      <w:pPr>
        <w:spacing w:line="360" w:lineRule="auto"/>
        <w:jc w:val="both"/>
        <w:rPr>
          <w:rFonts w:ascii="FrankRuehl" w:hAnsi="FrankRuehl" w:cs="FrankRuehl"/>
          <w:b/>
          <w:bCs/>
          <w:color w:val="17365D" w:themeColor="text2" w:themeShade="BF"/>
          <w:u w:val="single"/>
          <w:rtl/>
        </w:rPr>
      </w:pPr>
    </w:p>
    <w:p w:rsidR="00B30DF9" w:rsidRPr="008C48F2" w:rsidRDefault="00B30DF9" w:rsidP="00B30DF9">
      <w:pPr>
        <w:spacing w:line="360" w:lineRule="auto"/>
        <w:jc w:val="both"/>
        <w:rPr>
          <w:rFonts w:ascii="David" w:hAnsi="David"/>
          <w:color w:val="002060"/>
          <w:rtl/>
        </w:rPr>
      </w:pPr>
      <w:r w:rsidRPr="008C48F2">
        <w:rPr>
          <w:rFonts w:ascii="David" w:hAnsi="David" w:hint="cs"/>
          <w:b/>
          <w:bCs/>
          <w:color w:val="002060"/>
          <w:u w:val="single"/>
          <w:rtl/>
        </w:rPr>
        <w:t>רקע עובדתי</w:t>
      </w:r>
      <w:r w:rsidRPr="008C48F2">
        <w:rPr>
          <w:rFonts w:ascii="David" w:hAnsi="David" w:hint="cs"/>
          <w:color w:val="002060"/>
          <w:rtl/>
        </w:rPr>
        <w:t xml:space="preserve">: הצדדים הם בני זוג לשעבר שהיו נשואים זל"ז במשך 25 שנים ולהם שני ילדים כיום בגירים. הבעל הוא איש עסקים כאשר במהלך הנישואין פיתח קשרים עסקיים ענפים, נחל הצלחות עסקיות רבות וניהל עסקים חובקי עולם. במהלך הנישואין הקים הבעל את חברת </w:t>
      </w:r>
      <w:r w:rsidRPr="008C48F2">
        <w:rPr>
          <w:rFonts w:ascii="David" w:hAnsi="David" w:hint="cs"/>
          <w:color w:val="002060"/>
        </w:rPr>
        <w:t>A</w:t>
      </w:r>
      <w:r w:rsidRPr="008C48F2">
        <w:rPr>
          <w:rFonts w:ascii="David" w:hAnsi="David" w:hint="cs"/>
          <w:color w:val="002060"/>
          <w:rtl/>
        </w:rPr>
        <w:t xml:space="preserve">, חברה פורצת דרך בתחומה (מסווג) ושימש כמנכ"ל החברה ובעל מניות מרכזי בה. בשנת 2012 פוטר מהחברה שהיתה "מפעל חייו" ולטענתו נותר בפני שוקת שבורה ועם חובות של מיליוני ₪. במהלך שנת 2013 חבר הנתבע לשותף לצורך הוצאה לפועל של התקשרות עסקית מורכבת עם חברת </w:t>
      </w:r>
      <w:r w:rsidRPr="008C48F2">
        <w:rPr>
          <w:rFonts w:ascii="David" w:hAnsi="David" w:hint="cs"/>
          <w:color w:val="002060"/>
        </w:rPr>
        <w:t>N</w:t>
      </w:r>
      <w:r w:rsidRPr="008C48F2">
        <w:rPr>
          <w:rFonts w:ascii="David" w:hAnsi="David" w:hint="cs"/>
          <w:color w:val="002060"/>
          <w:rtl/>
        </w:rPr>
        <w:t xml:space="preserve"> הפועלת בתחום הסייבר, ובמסגרת זו חתם ביחד עם שותפו על שורה של הסכמים עם חברת </w:t>
      </w:r>
      <w:r w:rsidRPr="008C48F2">
        <w:rPr>
          <w:rFonts w:ascii="David" w:hAnsi="David" w:hint="cs"/>
          <w:color w:val="002060"/>
        </w:rPr>
        <w:t>N</w:t>
      </w:r>
      <w:r w:rsidRPr="008C48F2">
        <w:rPr>
          <w:rFonts w:ascii="David" w:hAnsi="David" w:hint="cs"/>
          <w:color w:val="002060"/>
          <w:rtl/>
        </w:rPr>
        <w:t xml:space="preserve"> וכפועל יוצא מכך עם  חברות נוספות ובין היתר חברות </w:t>
      </w:r>
      <w:r w:rsidRPr="008C48F2">
        <w:rPr>
          <w:rFonts w:ascii="David" w:hAnsi="David" w:hint="cs"/>
          <w:color w:val="002060"/>
        </w:rPr>
        <w:t>V</w:t>
      </w:r>
      <w:r w:rsidRPr="008C48F2">
        <w:rPr>
          <w:rFonts w:ascii="David" w:hAnsi="David" w:hint="cs"/>
          <w:color w:val="002060"/>
          <w:rtl/>
        </w:rPr>
        <w:t xml:space="preserve"> ו-</w:t>
      </w:r>
      <w:r w:rsidRPr="008C48F2">
        <w:rPr>
          <w:rFonts w:ascii="David" w:hAnsi="David" w:hint="cs"/>
          <w:color w:val="002060"/>
        </w:rPr>
        <w:t>L</w:t>
      </w:r>
      <w:r w:rsidRPr="008C48F2">
        <w:rPr>
          <w:rFonts w:ascii="David" w:hAnsi="David" w:hint="cs"/>
          <w:color w:val="002060"/>
          <w:rtl/>
        </w:rPr>
        <w:t xml:space="preserve"> בגינם נתקבלו הכנסות בסך של עשרות מיליוני דולרים. </w:t>
      </w:r>
    </w:p>
    <w:p w:rsidR="00B30DF9" w:rsidRPr="008C48F2" w:rsidRDefault="00B30DF9" w:rsidP="00B30DF9">
      <w:pPr>
        <w:spacing w:line="360" w:lineRule="auto"/>
        <w:jc w:val="both"/>
        <w:rPr>
          <w:rFonts w:ascii="David" w:hAnsi="David"/>
          <w:color w:val="002060"/>
          <w:rtl/>
        </w:rPr>
      </w:pPr>
      <w:r w:rsidRPr="008C48F2">
        <w:rPr>
          <w:rFonts w:ascii="David" w:hAnsi="David" w:hint="cs"/>
          <w:color w:val="002060"/>
          <w:rtl/>
        </w:rPr>
        <w:t>במהלך חודש דצמבר 2013 הגישה התובעת תביעות בענייני רכוש, משמורת ומזונות אישה וקטינים. בחודש ינואר 2014 עזב הנתבע את בית המגורים ולאחר מכן הגיש תביעה רכושית מטעמו בקשר לבית המגורים של הצדדים וכן תביעה לגירושין לביה"ד הרבני.</w:t>
      </w:r>
    </w:p>
    <w:p w:rsidR="00B30DF9" w:rsidRPr="008C48F2" w:rsidRDefault="00B30DF9" w:rsidP="00B30DF9">
      <w:pPr>
        <w:spacing w:line="360" w:lineRule="auto"/>
        <w:jc w:val="both"/>
        <w:rPr>
          <w:rFonts w:ascii="David" w:hAnsi="David"/>
          <w:color w:val="002060"/>
          <w:rtl/>
        </w:rPr>
      </w:pPr>
      <w:r w:rsidRPr="008C48F2">
        <w:rPr>
          <w:rFonts w:ascii="David" w:hAnsi="David" w:hint="cs"/>
          <w:color w:val="002060"/>
          <w:rtl/>
        </w:rPr>
        <w:t xml:space="preserve">מונה מומחה חוקר לצורך הגשת חוו"ד לאיזון משאבים. במסגרת עבודת המומחה ניתנו צווים לגילוי מסמכים ובין היתר לבקשת המומחה להרחבת תקופת הגילוי עד לסוף שנת 2015. </w:t>
      </w:r>
    </w:p>
    <w:p w:rsidR="00B30DF9" w:rsidRDefault="00B30DF9" w:rsidP="00B30DF9">
      <w:pPr>
        <w:spacing w:line="360" w:lineRule="auto"/>
        <w:jc w:val="both"/>
        <w:rPr>
          <w:rFonts w:ascii="David" w:hAnsi="David"/>
          <w:color w:val="002060"/>
          <w:u w:val="single"/>
          <w:rtl/>
        </w:rPr>
      </w:pPr>
    </w:p>
    <w:p w:rsidR="00B30DF9" w:rsidRPr="008C48F2" w:rsidRDefault="00B30DF9" w:rsidP="00B30DF9">
      <w:pPr>
        <w:spacing w:line="360" w:lineRule="auto"/>
        <w:jc w:val="both"/>
        <w:rPr>
          <w:rFonts w:ascii="David" w:hAnsi="David"/>
          <w:color w:val="002060"/>
          <w:rtl/>
        </w:rPr>
      </w:pPr>
      <w:r w:rsidRPr="008C48F2">
        <w:rPr>
          <w:rFonts w:ascii="David" w:hAnsi="David" w:hint="cs"/>
          <w:color w:val="002060"/>
          <w:u w:val="single"/>
          <w:rtl/>
        </w:rPr>
        <w:t>התביעות שנדונו בפסק הדין הן</w:t>
      </w:r>
      <w:r w:rsidRPr="008C48F2">
        <w:rPr>
          <w:rFonts w:ascii="David" w:hAnsi="David" w:hint="cs"/>
          <w:color w:val="002060"/>
          <w:rtl/>
        </w:rPr>
        <w:t xml:space="preserve">: </w:t>
      </w:r>
      <w:r w:rsidRPr="008C48F2">
        <w:rPr>
          <w:rFonts w:ascii="David" w:hAnsi="David"/>
          <w:color w:val="002060"/>
          <w:rtl/>
        </w:rPr>
        <w:t>תביעה שהגישה ה</w:t>
      </w:r>
      <w:r w:rsidRPr="008C48F2">
        <w:rPr>
          <w:rFonts w:ascii="David" w:hAnsi="David" w:hint="cs"/>
          <w:color w:val="002060"/>
          <w:rtl/>
        </w:rPr>
        <w:t xml:space="preserve">תובעת </w:t>
      </w:r>
      <w:r w:rsidRPr="008C48F2">
        <w:rPr>
          <w:rFonts w:ascii="David" w:hAnsi="David"/>
          <w:color w:val="002060"/>
          <w:rtl/>
        </w:rPr>
        <w:t xml:space="preserve">לאיזון משאבים וחלוקת זכויות, כספים ורכוש שנצבר לצדדים בתקופת הנישואין ובכלל כך פירות הכנסות שנאמדות בעשרות מיליוני ₪ שהתקבלו לידי הבעל לאחר הפירוד בפועל בין הצדדים. </w:t>
      </w:r>
      <w:r w:rsidRPr="008C48F2">
        <w:rPr>
          <w:rFonts w:ascii="David" w:hAnsi="David" w:hint="cs"/>
          <w:color w:val="002060"/>
          <w:rtl/>
        </w:rPr>
        <w:t xml:space="preserve">כן, עתרה התובעת לחלוקה לא שוויונית באופן שתקבל מעבר ל-50% מהרכוש שנצבר וזאת בנוסף על בית המגורים וזאת לנוכח פערי השתכרות ומוניטין של הבעל. בנוסף, נדונה </w:t>
      </w:r>
      <w:r w:rsidRPr="008C48F2">
        <w:rPr>
          <w:rFonts w:ascii="David" w:hAnsi="David"/>
          <w:color w:val="002060"/>
          <w:rtl/>
        </w:rPr>
        <w:t>תביעה שהגישה האישה לפסיקת מזונותיה החל ממועד הגשת התביעה ועד למועד הגירושין</w:t>
      </w:r>
      <w:r w:rsidRPr="008C48F2">
        <w:rPr>
          <w:rFonts w:ascii="David" w:hAnsi="David" w:hint="cs"/>
          <w:color w:val="002060"/>
          <w:rtl/>
        </w:rPr>
        <w:t xml:space="preserve">. מנגד, נדונה </w:t>
      </w:r>
      <w:r w:rsidRPr="008C48F2">
        <w:rPr>
          <w:rFonts w:ascii="David" w:hAnsi="David"/>
          <w:color w:val="002060"/>
          <w:rtl/>
        </w:rPr>
        <w:t xml:space="preserve">תביעה </w:t>
      </w:r>
      <w:r w:rsidRPr="008C48F2">
        <w:rPr>
          <w:rFonts w:ascii="David" w:hAnsi="David" w:hint="cs"/>
          <w:color w:val="002060"/>
          <w:rtl/>
        </w:rPr>
        <w:t xml:space="preserve">שהגיש הבעל </w:t>
      </w:r>
      <w:r w:rsidRPr="008C48F2">
        <w:rPr>
          <w:rFonts w:ascii="David" w:hAnsi="David"/>
          <w:color w:val="002060"/>
          <w:rtl/>
        </w:rPr>
        <w:t>למתן פסק דין הצהרתי בקשר לבית המגורים, לפירוק השיתוף ודמי שימוש</w:t>
      </w:r>
      <w:r w:rsidRPr="008C48F2">
        <w:rPr>
          <w:rFonts w:ascii="David" w:hAnsi="David" w:hint="cs"/>
          <w:color w:val="002060"/>
          <w:rtl/>
        </w:rPr>
        <w:t xml:space="preserve"> ממועד עזיבתו. </w:t>
      </w:r>
    </w:p>
    <w:p w:rsidR="00B30DF9" w:rsidRPr="008C48F2" w:rsidRDefault="00B30DF9" w:rsidP="00B30DF9">
      <w:pPr>
        <w:spacing w:line="360" w:lineRule="auto"/>
        <w:jc w:val="both"/>
        <w:rPr>
          <w:rFonts w:ascii="David" w:hAnsi="David"/>
          <w:color w:val="002060"/>
          <w:rtl/>
        </w:rPr>
      </w:pPr>
      <w:r w:rsidRPr="008C48F2">
        <w:rPr>
          <w:rFonts w:ascii="David" w:hAnsi="David" w:hint="cs"/>
          <w:color w:val="002060"/>
          <w:rtl/>
        </w:rPr>
        <w:t xml:space="preserve">במסגרת פסק הדין נדונו והוכרעו הסוגיות הבאות: </w:t>
      </w:r>
    </w:p>
    <w:p w:rsidR="00B30DF9" w:rsidRDefault="00B30DF9" w:rsidP="00B30DF9">
      <w:pPr>
        <w:spacing w:line="360" w:lineRule="auto"/>
        <w:jc w:val="both"/>
        <w:rPr>
          <w:rFonts w:ascii="David" w:hAnsi="David"/>
          <w:b/>
          <w:bCs/>
          <w:color w:val="002060"/>
          <w:u w:val="single"/>
          <w:rtl/>
        </w:rPr>
      </w:pPr>
    </w:p>
    <w:p w:rsidR="00B30DF9" w:rsidRPr="008C48F2" w:rsidRDefault="00B30DF9" w:rsidP="00B30DF9">
      <w:pPr>
        <w:spacing w:line="360" w:lineRule="auto"/>
        <w:jc w:val="both"/>
        <w:rPr>
          <w:rFonts w:ascii="David" w:hAnsi="David"/>
          <w:color w:val="002060"/>
          <w:rtl/>
        </w:rPr>
      </w:pPr>
      <w:r w:rsidRPr="008C48F2">
        <w:rPr>
          <w:rFonts w:ascii="David" w:hAnsi="David"/>
          <w:b/>
          <w:bCs/>
          <w:color w:val="002060"/>
          <w:u w:val="single"/>
          <w:rtl/>
        </w:rPr>
        <w:t>שאלת מועד הקרע בין הצדדים</w:t>
      </w:r>
      <w:r w:rsidRPr="008C48F2">
        <w:rPr>
          <w:rFonts w:ascii="David" w:hAnsi="David" w:hint="cs"/>
          <w:color w:val="002060"/>
          <w:u w:val="single"/>
          <w:rtl/>
        </w:rPr>
        <w:t xml:space="preserve"> (סע' 47- סע' 58)</w:t>
      </w:r>
      <w:r w:rsidRPr="008C48F2">
        <w:rPr>
          <w:rFonts w:ascii="David" w:hAnsi="David"/>
          <w:color w:val="002060"/>
          <w:rtl/>
        </w:rPr>
        <w:t xml:space="preserve">: </w:t>
      </w:r>
      <w:r w:rsidRPr="008C48F2">
        <w:rPr>
          <w:rFonts w:ascii="David" w:hAnsi="David" w:hint="cs"/>
          <w:color w:val="002060"/>
          <w:rtl/>
        </w:rPr>
        <w:t xml:space="preserve">נקבע כי מועד הקרע הוא מועד עזיבת הנתבע את הבית, קרי תחילת חודש ינואר 2014 (וכפי עתירת האישה ביום 31.12.13). עם זאת, נקבע כי אין במועד זה כדי לגרוע מהחובה לבחון ולהכריע בשאלה האם הכספים שהתקבלו אצל מי מהצדדים לאחר מועד הקרע הינם כספים ו/או זכויות ששורשיהם נעוצים בתקופה הקובעת כטענת התובעת ואף הבשילו לאחר מכן. </w:t>
      </w:r>
    </w:p>
    <w:p w:rsidR="00B30DF9" w:rsidRDefault="00B30DF9" w:rsidP="00B30DF9">
      <w:pPr>
        <w:spacing w:line="360" w:lineRule="auto"/>
        <w:jc w:val="both"/>
        <w:rPr>
          <w:rFonts w:ascii="David" w:hAnsi="David"/>
          <w:b/>
          <w:bCs/>
          <w:color w:val="002060"/>
          <w:u w:val="single"/>
          <w:rtl/>
        </w:rPr>
      </w:pPr>
    </w:p>
    <w:p w:rsidR="00B30DF9" w:rsidRDefault="00B30DF9" w:rsidP="00B30DF9">
      <w:pPr>
        <w:spacing w:line="360" w:lineRule="auto"/>
        <w:jc w:val="both"/>
        <w:rPr>
          <w:rFonts w:ascii="David" w:hAnsi="David"/>
          <w:b/>
          <w:bCs/>
          <w:color w:val="002060"/>
          <w:u w:val="single"/>
          <w:rtl/>
        </w:rPr>
      </w:pPr>
    </w:p>
    <w:p w:rsidR="00B30DF9" w:rsidRDefault="00B30DF9" w:rsidP="00B30DF9">
      <w:pPr>
        <w:spacing w:line="360" w:lineRule="auto"/>
        <w:jc w:val="both"/>
        <w:rPr>
          <w:rFonts w:ascii="David" w:hAnsi="David"/>
          <w:b/>
          <w:bCs/>
          <w:color w:val="002060"/>
          <w:u w:val="single"/>
          <w:rtl/>
        </w:rPr>
      </w:pPr>
    </w:p>
    <w:p w:rsidR="00B30DF9" w:rsidRPr="008C48F2" w:rsidRDefault="00B30DF9" w:rsidP="00B30DF9">
      <w:pPr>
        <w:spacing w:line="360" w:lineRule="auto"/>
        <w:jc w:val="both"/>
        <w:rPr>
          <w:rFonts w:ascii="David" w:hAnsi="David"/>
          <w:color w:val="002060"/>
          <w:rtl/>
        </w:rPr>
      </w:pPr>
      <w:r w:rsidRPr="008C48F2">
        <w:rPr>
          <w:rFonts w:ascii="David" w:hAnsi="David" w:hint="cs"/>
          <w:b/>
          <w:bCs/>
          <w:color w:val="002060"/>
          <w:u w:val="single"/>
          <w:rtl/>
        </w:rPr>
        <w:lastRenderedPageBreak/>
        <w:t>ממצאי חוו"ד המומחה</w:t>
      </w:r>
      <w:r w:rsidRPr="008C48F2">
        <w:rPr>
          <w:rFonts w:ascii="David" w:hAnsi="David" w:hint="cs"/>
          <w:color w:val="002060"/>
          <w:u w:val="single"/>
          <w:rtl/>
        </w:rPr>
        <w:t xml:space="preserve"> (סע' 59- סע' 112)</w:t>
      </w:r>
      <w:r w:rsidRPr="008C48F2">
        <w:rPr>
          <w:rFonts w:ascii="David" w:hAnsi="David" w:hint="cs"/>
          <w:color w:val="002060"/>
          <w:rtl/>
        </w:rPr>
        <w:t>: דיון והכרעה בנוגע לממצאי חוו"ד המומחה שהוגשה</w:t>
      </w:r>
      <w:r w:rsidRPr="008C48F2">
        <w:rPr>
          <w:rFonts w:ascii="David" w:hAnsi="David"/>
          <w:color w:val="002060"/>
          <w:rtl/>
        </w:rPr>
        <w:t xml:space="preserve"> ובכלל כך טענות האישה בנוגע הברחות כספים ורכוש</w:t>
      </w:r>
      <w:r w:rsidRPr="008C48F2">
        <w:rPr>
          <w:rFonts w:ascii="David" w:hAnsi="David" w:hint="cs"/>
          <w:color w:val="002060"/>
          <w:rtl/>
        </w:rPr>
        <w:t xml:space="preserve"> ממצבת הנכסים המשותפים, טענת החזר הלוואות במיליוני ₪ שהעלה הבעל, חלוקת אופציות שמומשו לאחר מועד הקרע, ועוד. </w:t>
      </w:r>
    </w:p>
    <w:p w:rsidR="00B30DF9" w:rsidRDefault="00B30DF9" w:rsidP="00B30DF9">
      <w:pPr>
        <w:spacing w:line="360" w:lineRule="auto"/>
        <w:jc w:val="both"/>
        <w:rPr>
          <w:rFonts w:ascii="David" w:hAnsi="David"/>
          <w:b/>
          <w:bCs/>
          <w:color w:val="002060"/>
          <w:u w:val="single"/>
          <w:rtl/>
        </w:rPr>
      </w:pPr>
    </w:p>
    <w:p w:rsidR="00B30DF9" w:rsidRPr="008C48F2" w:rsidRDefault="00B30DF9" w:rsidP="00B30DF9">
      <w:pPr>
        <w:spacing w:line="360" w:lineRule="auto"/>
        <w:jc w:val="both"/>
        <w:rPr>
          <w:rFonts w:ascii="David" w:hAnsi="David"/>
          <w:color w:val="002060"/>
          <w:rtl/>
        </w:rPr>
      </w:pPr>
      <w:r w:rsidRPr="008C48F2">
        <w:rPr>
          <w:rFonts w:ascii="David" w:hAnsi="David" w:hint="cs"/>
          <w:b/>
          <w:bCs/>
          <w:color w:val="002060"/>
          <w:u w:val="single"/>
          <w:rtl/>
        </w:rPr>
        <w:t xml:space="preserve">הכנסות הבעל מחברת </w:t>
      </w:r>
      <w:r w:rsidRPr="008C48F2">
        <w:rPr>
          <w:rFonts w:ascii="David" w:hAnsi="David" w:hint="cs"/>
          <w:b/>
          <w:bCs/>
          <w:color w:val="002060"/>
          <w:u w:val="single"/>
        </w:rPr>
        <w:t>N</w:t>
      </w:r>
      <w:r w:rsidRPr="008C48F2">
        <w:rPr>
          <w:rFonts w:ascii="David" w:hAnsi="David" w:hint="cs"/>
          <w:b/>
          <w:bCs/>
          <w:color w:val="002060"/>
          <w:u w:val="single"/>
          <w:rtl/>
        </w:rPr>
        <w:t xml:space="preserve"> במהלך השנים 2013-2015</w:t>
      </w:r>
      <w:r w:rsidRPr="008C48F2">
        <w:rPr>
          <w:rFonts w:ascii="David" w:hAnsi="David" w:hint="cs"/>
          <w:color w:val="002060"/>
          <w:u w:val="single"/>
          <w:rtl/>
        </w:rPr>
        <w:t xml:space="preserve"> (סע' 115- סע' 216)</w:t>
      </w:r>
      <w:r w:rsidRPr="008C48F2">
        <w:rPr>
          <w:rFonts w:ascii="David" w:hAnsi="David" w:hint="cs"/>
          <w:color w:val="002060"/>
          <w:rtl/>
        </w:rPr>
        <w:t xml:space="preserve">: עיקר המחלוקת בין הצדדים הינה בנוגע להכנסות שהתקבלו מחברת </w:t>
      </w:r>
      <w:r w:rsidRPr="008C48F2">
        <w:rPr>
          <w:rFonts w:ascii="David" w:hAnsi="David" w:hint="cs"/>
          <w:color w:val="002060"/>
        </w:rPr>
        <w:t>N</w:t>
      </w:r>
      <w:r w:rsidRPr="008C48F2">
        <w:rPr>
          <w:rFonts w:ascii="David" w:hAnsi="David" w:hint="cs"/>
          <w:color w:val="002060"/>
          <w:rtl/>
        </w:rPr>
        <w:t xml:space="preserve"> במישרין ובעקיפין לאחר מועד הקרע בשנים 2014-2015 כאשר המומחה הותיר סוגיה זו להכרעת ביהמ"ש. מדובר בהכנסות שהתקבלו לידי הנתבע בסך 6,500,000 $. </w:t>
      </w:r>
    </w:p>
    <w:p w:rsidR="00B30DF9" w:rsidRPr="008C48F2" w:rsidRDefault="00B30DF9" w:rsidP="00B30DF9">
      <w:pPr>
        <w:spacing w:line="360" w:lineRule="auto"/>
        <w:jc w:val="both"/>
        <w:rPr>
          <w:rFonts w:ascii="David" w:hAnsi="David"/>
          <w:color w:val="002060"/>
          <w:rtl/>
        </w:rPr>
      </w:pPr>
      <w:r w:rsidRPr="008C48F2">
        <w:rPr>
          <w:rFonts w:ascii="David" w:hAnsi="David"/>
          <w:color w:val="002060"/>
          <w:rtl/>
        </w:rPr>
        <w:t xml:space="preserve">בפסק הדין נקבע </w:t>
      </w:r>
      <w:r w:rsidRPr="008C48F2">
        <w:rPr>
          <w:rFonts w:ascii="David" w:hAnsi="David" w:hint="cs"/>
          <w:color w:val="002060"/>
          <w:rtl/>
        </w:rPr>
        <w:t xml:space="preserve">כי כתב המינוי מיום 1.7.13 עם חברת </w:t>
      </w:r>
      <w:r w:rsidRPr="008C48F2">
        <w:rPr>
          <w:rFonts w:ascii="David" w:hAnsi="David" w:hint="cs"/>
          <w:color w:val="002060"/>
        </w:rPr>
        <w:t>N</w:t>
      </w:r>
      <w:r w:rsidRPr="008C48F2">
        <w:rPr>
          <w:rFonts w:ascii="David" w:hAnsi="David" w:hint="cs"/>
          <w:color w:val="002060"/>
          <w:rtl/>
        </w:rPr>
        <w:t xml:space="preserve"> מהווה "נכס בר איזון" בהתאם לסעיף 5 לחוק יחסי ממון (סע' 123-134); כן, ההסכם המאוחר מיום 18.5.16 נערך בשל הפרת זכות הבלעדיות שניתנה לנתבע ושותפו בכתב המינוי מיום 1.7.13 ועל כן מהווה אף הוא נכס בר איזון (סע' 135-142). </w:t>
      </w:r>
    </w:p>
    <w:p w:rsidR="00B30DF9" w:rsidRDefault="00B30DF9" w:rsidP="00B30DF9">
      <w:pPr>
        <w:spacing w:line="360" w:lineRule="auto"/>
        <w:jc w:val="both"/>
        <w:rPr>
          <w:rFonts w:ascii="David" w:hAnsi="David"/>
          <w:b/>
          <w:bCs/>
          <w:color w:val="002060"/>
          <w:u w:val="single"/>
          <w:rtl/>
        </w:rPr>
      </w:pPr>
    </w:p>
    <w:p w:rsidR="00B30DF9" w:rsidRPr="008C48F2" w:rsidRDefault="00B30DF9" w:rsidP="00B30DF9">
      <w:pPr>
        <w:spacing w:line="360" w:lineRule="auto"/>
        <w:jc w:val="both"/>
        <w:rPr>
          <w:rFonts w:ascii="David" w:hAnsi="David"/>
          <w:color w:val="002060"/>
          <w:rtl/>
        </w:rPr>
      </w:pPr>
      <w:r w:rsidRPr="008C48F2">
        <w:rPr>
          <w:rFonts w:ascii="David" w:hAnsi="David" w:hint="cs"/>
          <w:b/>
          <w:bCs/>
          <w:color w:val="002060"/>
          <w:u w:val="single"/>
          <w:rtl/>
        </w:rPr>
        <w:t>המקורות הנורמטיביים לבחינת שאלת השיתוף בפירות שמתקבלים מנכס בר איזון לאחר מועד הקרע</w:t>
      </w:r>
      <w:r w:rsidRPr="008C48F2">
        <w:rPr>
          <w:rFonts w:ascii="David" w:hAnsi="David" w:hint="cs"/>
          <w:color w:val="002060"/>
          <w:rtl/>
        </w:rPr>
        <w:t xml:space="preserve">: נקבע כי סוגיית </w:t>
      </w:r>
      <w:r w:rsidRPr="008C48F2">
        <w:rPr>
          <w:rFonts w:ascii="David" w:hAnsi="David"/>
          <w:color w:val="002060"/>
          <w:rtl/>
        </w:rPr>
        <w:t xml:space="preserve">השיתוף בפירות שמתקבלים מנכס בר איזון לאחר מועד הקרע </w:t>
      </w:r>
      <w:r w:rsidRPr="008C48F2">
        <w:rPr>
          <w:rFonts w:ascii="David" w:hAnsi="David" w:hint="cs"/>
          <w:color w:val="002060"/>
          <w:rtl/>
        </w:rPr>
        <w:t xml:space="preserve">תיבחן </w:t>
      </w:r>
      <w:r w:rsidRPr="008C48F2">
        <w:rPr>
          <w:rFonts w:ascii="David" w:hAnsi="David"/>
          <w:color w:val="002060"/>
          <w:rtl/>
        </w:rPr>
        <w:t xml:space="preserve">בהתאם לעקרונות פרשת חסל </w:t>
      </w:r>
      <w:r w:rsidRPr="008C48F2">
        <w:rPr>
          <w:rFonts w:ascii="David" w:hAnsi="David" w:hint="cs"/>
          <w:color w:val="002060"/>
          <w:rtl/>
        </w:rPr>
        <w:t xml:space="preserve">(ע"א 5640/94 </w:t>
      </w:r>
      <w:r w:rsidRPr="008C48F2">
        <w:rPr>
          <w:rFonts w:ascii="David" w:hAnsi="David" w:hint="cs"/>
          <w:b/>
          <w:bCs/>
          <w:color w:val="002060"/>
          <w:rtl/>
        </w:rPr>
        <w:t>חסל נ' חסל</w:t>
      </w:r>
      <w:r w:rsidRPr="008C48F2">
        <w:rPr>
          <w:rFonts w:ascii="David" w:hAnsi="David" w:hint="cs"/>
          <w:color w:val="002060"/>
          <w:rtl/>
        </w:rPr>
        <w:t xml:space="preserve"> פ"ד נ (4) 250)</w:t>
      </w:r>
      <w:r w:rsidRPr="008C48F2">
        <w:rPr>
          <w:rFonts w:ascii="David" w:hAnsi="David"/>
          <w:color w:val="002060"/>
          <w:rtl/>
        </w:rPr>
        <w:t xml:space="preserve">. פרשת חסל ביקשה להכיר בשיתוף בן הזוג ב"פירות" עתידיים של נכס שנצבר בתקופת הנישואין ובלבד </w:t>
      </w:r>
      <w:r w:rsidRPr="008C48F2">
        <w:rPr>
          <w:rFonts w:ascii="David" w:hAnsi="David"/>
          <w:color w:val="002060"/>
          <w:u w:val="single"/>
          <w:rtl/>
        </w:rPr>
        <w:t>שהוכחה זיקה בין הנכס שנוצר בתקופת הנישואין לבין הפירות העתידים של הנכס וכן בהתאם למבחן מועד ההשקעה העיקרי בנכס</w:t>
      </w:r>
      <w:r w:rsidRPr="008C48F2">
        <w:rPr>
          <w:rFonts w:ascii="David" w:hAnsi="David" w:hint="cs"/>
          <w:color w:val="002060"/>
          <w:u w:val="single"/>
          <w:rtl/>
        </w:rPr>
        <w:t>, קרי מקום שבו נעשתה ההשקעה העיקרית, כספית או אחרת ב"עץ" בתקופה שלפני שתמה תקופת השיתוף וניתן לייחס את הפירות לאותה השקעה</w:t>
      </w:r>
      <w:r w:rsidRPr="008C48F2">
        <w:rPr>
          <w:rFonts w:ascii="David" w:hAnsi="David" w:hint="cs"/>
          <w:color w:val="002060"/>
          <w:rtl/>
        </w:rPr>
        <w:t>. בנוסף, ניתן לבחון את המחלוקת דרך סוגיית השיתוף בפירות נכס נפרד, כלומר השבחת/פירות נכס נפרד היא בת איזון בהתקיים שני תנאים: הוכחה השבחה או תפוקת פירות במהלך הנישואין והוכח קשר סיבתי בין ההשבחה ו/או הפירות לבין המאמץ המשותף. כמו כן, יש ליישם את התכליות ביסוד חוק יחסי ממון שנועדו להגשים שוויון מהותי בחלוקת הזכויות והמשאבים של בני הזוג לעת הפירוד ביניהם. בהתאם לכך, מקום שבו יסודות הזכות נטועים בתקופת הנישואין ואילו הבשלת מלוא הזכות היא בעתיד לבוא, יש הצדק לשקלל את שווי הזכות גם מעבר למועד הקובע לצורך הגשמת מלוא הפוטנציאל הכלכלי הגלום בה שכן בפוטנציאל זה באה לידי ביטוי גם תרומתו של בן הזוג השני במהלך הנישואין (ר', למשל, בקשר לאיזון זכויות פנסיוניות). לראייה, בפסקי דין שונים נעשתה סטייה מעקרון הפרידה הנקייה על מנת להעריך את שווי הזכויות האופטימלי במועד מאוחר למועד הקרע (בקשר לחלוקת אופציות וכן בבע"מ 2642/20 פלונית נ' פלוני).</w:t>
      </w:r>
    </w:p>
    <w:p w:rsidR="00B30DF9" w:rsidRPr="008C48F2" w:rsidRDefault="00B30DF9" w:rsidP="00B30DF9">
      <w:pPr>
        <w:spacing w:line="360" w:lineRule="auto"/>
        <w:jc w:val="both"/>
        <w:rPr>
          <w:rFonts w:ascii="David" w:hAnsi="David"/>
          <w:color w:val="002060"/>
          <w:rtl/>
        </w:rPr>
      </w:pPr>
      <w:r w:rsidRPr="008C48F2">
        <w:rPr>
          <w:rFonts w:ascii="David" w:hAnsi="David" w:hint="cs"/>
          <w:color w:val="002060"/>
          <w:rtl/>
        </w:rPr>
        <w:t xml:space="preserve">במקרה דנן, יישום המבחנים שנקבעו בפרשת חסל ושאר השיקולים שפורטו לעיל, מחייבים את המסקנה לפיה התובעת זכאית לשיתוף בפירות ההכנסות שהתקבלו מחברת </w:t>
      </w:r>
      <w:r w:rsidRPr="008C48F2">
        <w:rPr>
          <w:rFonts w:ascii="David" w:hAnsi="David" w:hint="cs"/>
          <w:color w:val="002060"/>
        </w:rPr>
        <w:t>N</w:t>
      </w:r>
      <w:r w:rsidRPr="008C48F2">
        <w:rPr>
          <w:rFonts w:ascii="David" w:hAnsi="David" w:hint="cs"/>
          <w:color w:val="002060"/>
          <w:rtl/>
        </w:rPr>
        <w:t xml:space="preserve"> גם לאחר מועד הקרע ועד שנת 2015. כמו כן, נקבעה זכאותה של התובעת להכנסות שהתקבלו מההסכם מיום 18.5.16 שמהווה תשלום חד פעמי בשל הפרת זכות הבלעדיות שניתנה לבעל ולשותפו בהסכם ההתקשרות עם חברת </w:t>
      </w:r>
      <w:r w:rsidRPr="008C48F2">
        <w:rPr>
          <w:rFonts w:ascii="David" w:hAnsi="David" w:hint="cs"/>
          <w:color w:val="002060"/>
        </w:rPr>
        <w:t>N</w:t>
      </w:r>
      <w:r w:rsidRPr="008C48F2">
        <w:rPr>
          <w:rFonts w:ascii="David" w:hAnsi="David" w:hint="cs"/>
          <w:color w:val="002060"/>
          <w:rtl/>
        </w:rPr>
        <w:t xml:space="preserve">.  </w:t>
      </w:r>
    </w:p>
    <w:p w:rsidR="00B30DF9" w:rsidRPr="008C48F2" w:rsidRDefault="00B30DF9" w:rsidP="00B30DF9">
      <w:pPr>
        <w:spacing w:line="360" w:lineRule="auto"/>
        <w:jc w:val="both"/>
        <w:rPr>
          <w:rFonts w:ascii="David" w:hAnsi="David"/>
          <w:color w:val="002060"/>
          <w:rtl/>
        </w:rPr>
      </w:pPr>
      <w:r w:rsidRPr="008C48F2">
        <w:rPr>
          <w:rFonts w:ascii="David" w:hAnsi="David" w:hint="cs"/>
          <w:color w:val="002060"/>
          <w:rtl/>
        </w:rPr>
        <w:t xml:space="preserve">עוד נקבע בפסק הדין כי אין להתייחס להכנסות מחברת </w:t>
      </w:r>
      <w:r w:rsidRPr="008C48F2">
        <w:rPr>
          <w:rFonts w:ascii="David" w:hAnsi="David" w:hint="cs"/>
          <w:color w:val="002060"/>
        </w:rPr>
        <w:t>N</w:t>
      </w:r>
      <w:r w:rsidRPr="008C48F2">
        <w:rPr>
          <w:rFonts w:ascii="David" w:hAnsi="David" w:hint="cs"/>
          <w:color w:val="002060"/>
          <w:rtl/>
        </w:rPr>
        <w:t xml:space="preserve"> בהיבט של איזון נכסי קריירה בלבד שכן ההכנסות נובעות מהשקעות כספיות ושימוש במשאבים משפחתיים שהביאו לתנובת הפירות ולא רק מהמוניטין האישי ופוטנציאל השתכרות של הבעל. כמו כן, נקבע כי אין כל קושי לכמת את ההכנסות וכי מדובר בסכומים קונקרטיים וידועים שנחשפו בהתאם לצווי גילוי מסמכים שנתנו, קרי מדובר בסופו של יום בחלוקת תקבולים כספיים. </w:t>
      </w:r>
    </w:p>
    <w:p w:rsidR="00B30DF9" w:rsidRDefault="00B30DF9" w:rsidP="00B30DF9">
      <w:pPr>
        <w:spacing w:line="360" w:lineRule="auto"/>
        <w:jc w:val="both"/>
        <w:rPr>
          <w:rFonts w:ascii="David" w:hAnsi="David"/>
          <w:b/>
          <w:bCs/>
          <w:color w:val="002060"/>
          <w:u w:val="single"/>
          <w:rtl/>
        </w:rPr>
      </w:pPr>
    </w:p>
    <w:p w:rsidR="00B30DF9" w:rsidRDefault="00B30DF9" w:rsidP="00B30DF9">
      <w:pPr>
        <w:spacing w:line="360" w:lineRule="auto"/>
        <w:jc w:val="both"/>
        <w:rPr>
          <w:rFonts w:ascii="David" w:hAnsi="David"/>
          <w:b/>
          <w:bCs/>
          <w:color w:val="002060"/>
          <w:u w:val="single"/>
          <w:rtl/>
        </w:rPr>
      </w:pPr>
    </w:p>
    <w:p w:rsidR="00B30DF9" w:rsidRPr="008C48F2" w:rsidRDefault="00B30DF9" w:rsidP="00B30DF9">
      <w:pPr>
        <w:spacing w:line="360" w:lineRule="auto"/>
        <w:jc w:val="both"/>
        <w:rPr>
          <w:rFonts w:ascii="David" w:hAnsi="David"/>
          <w:color w:val="002060"/>
          <w:rtl/>
        </w:rPr>
      </w:pPr>
      <w:r w:rsidRPr="008C48F2">
        <w:rPr>
          <w:rFonts w:ascii="David" w:hAnsi="David"/>
          <w:b/>
          <w:bCs/>
          <w:color w:val="002060"/>
          <w:u w:val="single"/>
          <w:rtl/>
        </w:rPr>
        <w:lastRenderedPageBreak/>
        <w:t>אשר להיקף השיתופית</w:t>
      </w:r>
      <w:r w:rsidRPr="008C48F2">
        <w:rPr>
          <w:rFonts w:ascii="David" w:hAnsi="David"/>
          <w:color w:val="002060"/>
          <w:rtl/>
        </w:rPr>
        <w:t xml:space="preserve">: </w:t>
      </w:r>
      <w:r w:rsidRPr="008C48F2">
        <w:rPr>
          <w:rFonts w:ascii="David" w:hAnsi="David" w:hint="cs"/>
          <w:color w:val="002060"/>
          <w:rtl/>
        </w:rPr>
        <w:t xml:space="preserve">פסיקת בית המשפט הכירה בשיתופיות חלקית בנסיבות בהן תרומת בני הזוג להפקת הנכסים המשותפים אינה שווה. במקרה דנן, לא ניתן להתעלם מכך שלצד השיתוף בהכנסות שהתקבלו מחברת </w:t>
      </w:r>
      <w:r w:rsidRPr="008C48F2">
        <w:rPr>
          <w:rFonts w:ascii="David" w:hAnsi="David" w:hint="cs"/>
          <w:color w:val="002060"/>
        </w:rPr>
        <w:t>N</w:t>
      </w:r>
      <w:r w:rsidRPr="008C48F2">
        <w:rPr>
          <w:rFonts w:ascii="David" w:hAnsi="David" w:hint="cs"/>
          <w:color w:val="002060"/>
          <w:rtl/>
        </w:rPr>
        <w:t xml:space="preserve"> נדרשה עבודה מאומצת של הנתבע ושותפו להפקת הפירות אשר היה בה גם אלמנט של סיכון ואי וודאות. על כן, נקבעה זכאותה של התובעת בהכנסות מחברת </w:t>
      </w:r>
      <w:r w:rsidRPr="008C48F2">
        <w:rPr>
          <w:rFonts w:ascii="David" w:hAnsi="David" w:hint="cs"/>
          <w:color w:val="002060"/>
        </w:rPr>
        <w:t>N</w:t>
      </w:r>
      <w:r w:rsidRPr="008C48F2">
        <w:rPr>
          <w:rFonts w:ascii="David" w:hAnsi="David" w:hint="cs"/>
          <w:color w:val="002060"/>
          <w:rtl/>
        </w:rPr>
        <w:t xml:space="preserve"> בשיעור של 35% מהיקף ההכנסות נטו. </w:t>
      </w:r>
    </w:p>
    <w:p w:rsidR="00B30DF9" w:rsidRDefault="00B30DF9" w:rsidP="00B30DF9">
      <w:pPr>
        <w:spacing w:line="360" w:lineRule="auto"/>
        <w:jc w:val="both"/>
        <w:rPr>
          <w:rFonts w:ascii="David" w:hAnsi="David"/>
          <w:b/>
          <w:bCs/>
          <w:color w:val="002060"/>
          <w:u w:val="single"/>
          <w:rtl/>
        </w:rPr>
      </w:pPr>
    </w:p>
    <w:p w:rsidR="00B30DF9" w:rsidRPr="008C48F2" w:rsidRDefault="00B30DF9" w:rsidP="00B30DF9">
      <w:pPr>
        <w:spacing w:line="360" w:lineRule="auto"/>
        <w:jc w:val="both"/>
        <w:rPr>
          <w:rFonts w:ascii="David" w:hAnsi="David"/>
          <w:color w:val="002060"/>
          <w:rtl/>
        </w:rPr>
      </w:pPr>
      <w:r w:rsidRPr="008C48F2">
        <w:rPr>
          <w:rFonts w:ascii="David" w:hAnsi="David" w:hint="cs"/>
          <w:b/>
          <w:bCs/>
          <w:color w:val="002060"/>
          <w:u w:val="single"/>
          <w:rtl/>
        </w:rPr>
        <w:t xml:space="preserve">הכנסות הנתבע מחברת </w:t>
      </w:r>
      <w:r w:rsidRPr="008C48F2">
        <w:rPr>
          <w:rFonts w:ascii="David" w:hAnsi="David"/>
          <w:b/>
          <w:bCs/>
          <w:color w:val="002060"/>
          <w:u w:val="single"/>
        </w:rPr>
        <w:t>V</w:t>
      </w:r>
      <w:r w:rsidRPr="008C48F2">
        <w:rPr>
          <w:rFonts w:ascii="David" w:hAnsi="David" w:hint="cs"/>
          <w:b/>
          <w:bCs/>
          <w:color w:val="002060"/>
          <w:u w:val="single"/>
          <w:rtl/>
        </w:rPr>
        <w:t xml:space="preserve"> במהלך השנים 2014-2015</w:t>
      </w:r>
      <w:r w:rsidRPr="008C48F2">
        <w:rPr>
          <w:rFonts w:ascii="David" w:hAnsi="David" w:hint="cs"/>
          <w:color w:val="002060"/>
          <w:u w:val="single"/>
          <w:rtl/>
        </w:rPr>
        <w:t xml:space="preserve"> (סע' 217- סע' 237)</w:t>
      </w:r>
      <w:r w:rsidRPr="008C48F2">
        <w:rPr>
          <w:rFonts w:ascii="David" w:hAnsi="David" w:hint="cs"/>
          <w:color w:val="002060"/>
          <w:rtl/>
        </w:rPr>
        <w:t>:</w:t>
      </w:r>
      <w:r w:rsidRPr="008C48F2">
        <w:rPr>
          <w:rFonts w:ascii="David" w:hAnsi="David" w:hint="cs"/>
          <w:color w:val="002060"/>
        </w:rPr>
        <w:t xml:space="preserve"> </w:t>
      </w:r>
      <w:r w:rsidRPr="008C48F2">
        <w:rPr>
          <w:rFonts w:ascii="David" w:hAnsi="David" w:hint="cs"/>
          <w:color w:val="002060"/>
          <w:rtl/>
        </w:rPr>
        <w:t xml:space="preserve">נקבע כי בהתאם למבחנים שפורטו בפרשת חסל ובדומה להכנסות מחברת </w:t>
      </w:r>
      <w:r w:rsidRPr="008C48F2">
        <w:rPr>
          <w:rFonts w:ascii="David" w:hAnsi="David" w:hint="cs"/>
          <w:color w:val="002060"/>
        </w:rPr>
        <w:t>N</w:t>
      </w:r>
      <w:r w:rsidRPr="008C48F2">
        <w:rPr>
          <w:rFonts w:ascii="David" w:hAnsi="David" w:hint="cs"/>
          <w:color w:val="002060"/>
          <w:rtl/>
        </w:rPr>
        <w:t xml:space="preserve"> יש להכיר בשיתופיות של התובעת בהכנסות שהתקבלו בין השנים 2014-2015. הוכח כי ההסכם עם חברת </w:t>
      </w:r>
      <w:r w:rsidRPr="008C48F2">
        <w:rPr>
          <w:rFonts w:ascii="David" w:hAnsi="David" w:hint="cs"/>
          <w:color w:val="002060"/>
        </w:rPr>
        <w:t>V</w:t>
      </w:r>
      <w:r w:rsidRPr="008C48F2">
        <w:rPr>
          <w:rFonts w:ascii="David" w:hAnsi="David" w:hint="cs"/>
          <w:color w:val="002060"/>
          <w:rtl/>
        </w:rPr>
        <w:t xml:space="preserve"> נחתם ביום 11.12.13, קרי לפני מועד הקרע. כמו כן, העסקה הראשונה היתה מספר חודשים לאחר מועד הקרע בחודש מאי 2014 וגם העסקה השנייה בוצעה בשנת 2014, קרי מדובר בעסקאות שהחלו לקרום עור וגידים לפני מועד הקרע ובוצעו פרק זמן קצר לאחר מכן. בנוסף, הוכח כי הנתבע השתמש במשאבים שנוצרו בתקופת הנישואין על מנת להוציא מהכוח אל הפועל את ההתקשרות עם חברת </w:t>
      </w:r>
      <w:r w:rsidRPr="008C48F2">
        <w:rPr>
          <w:rFonts w:ascii="David" w:hAnsi="David" w:hint="cs"/>
          <w:color w:val="002060"/>
        </w:rPr>
        <w:t>V</w:t>
      </w:r>
      <w:r w:rsidRPr="008C48F2">
        <w:rPr>
          <w:rFonts w:ascii="David" w:hAnsi="David" w:hint="cs"/>
          <w:color w:val="002060"/>
          <w:rtl/>
        </w:rPr>
        <w:t xml:space="preserve"> לצורך הפקת ההכנסות האדירות שהתקבלו בידיו. על כן, גם לגבי הכנסות אלו הוכרה זכאותה של התובעת בשיעור של 35% מההכנסות בסך 10,005,796 $ (בשיעור נטו).</w:t>
      </w:r>
    </w:p>
    <w:p w:rsidR="00B30DF9" w:rsidRDefault="00B30DF9" w:rsidP="00B30DF9">
      <w:pPr>
        <w:spacing w:line="360" w:lineRule="auto"/>
        <w:jc w:val="both"/>
        <w:rPr>
          <w:rFonts w:ascii="David" w:hAnsi="David"/>
          <w:b/>
          <w:bCs/>
          <w:color w:val="002060"/>
          <w:u w:val="single"/>
          <w:rtl/>
        </w:rPr>
      </w:pPr>
    </w:p>
    <w:p w:rsidR="00B30DF9" w:rsidRPr="008C48F2" w:rsidRDefault="00B30DF9" w:rsidP="00B30DF9">
      <w:pPr>
        <w:spacing w:line="360" w:lineRule="auto"/>
        <w:jc w:val="both"/>
        <w:rPr>
          <w:rFonts w:ascii="David" w:hAnsi="David"/>
          <w:color w:val="002060"/>
          <w:rtl/>
        </w:rPr>
      </w:pPr>
      <w:r w:rsidRPr="008C48F2">
        <w:rPr>
          <w:rFonts w:ascii="David" w:hAnsi="David"/>
          <w:b/>
          <w:bCs/>
          <w:color w:val="002060"/>
          <w:u w:val="single"/>
          <w:rtl/>
        </w:rPr>
        <w:t xml:space="preserve">הכנסות הנתבע מחברות </w:t>
      </w:r>
      <w:r w:rsidRPr="008C48F2">
        <w:rPr>
          <w:rFonts w:ascii="David" w:hAnsi="David"/>
          <w:b/>
          <w:bCs/>
          <w:color w:val="002060"/>
          <w:u w:val="single"/>
        </w:rPr>
        <w:t xml:space="preserve">G </w:t>
      </w:r>
      <w:r w:rsidRPr="008C48F2">
        <w:rPr>
          <w:rFonts w:ascii="David" w:hAnsi="David"/>
          <w:b/>
          <w:bCs/>
          <w:color w:val="002060"/>
          <w:u w:val="single"/>
          <w:rtl/>
        </w:rPr>
        <w:t xml:space="preserve"> ו-</w:t>
      </w:r>
      <w:r w:rsidRPr="008C48F2">
        <w:rPr>
          <w:rFonts w:ascii="David" w:hAnsi="David"/>
          <w:b/>
          <w:bCs/>
          <w:color w:val="002060"/>
          <w:u w:val="single"/>
        </w:rPr>
        <w:t>L</w:t>
      </w:r>
      <w:r w:rsidRPr="008C48F2">
        <w:rPr>
          <w:rFonts w:ascii="David" w:hAnsi="David" w:hint="cs"/>
          <w:color w:val="002060"/>
          <w:u w:val="single"/>
          <w:rtl/>
        </w:rPr>
        <w:t xml:space="preserve"> (סע' 238- סע' 251)</w:t>
      </w:r>
      <w:r w:rsidRPr="008C48F2">
        <w:rPr>
          <w:rFonts w:ascii="David" w:hAnsi="David"/>
          <w:color w:val="002060"/>
          <w:rtl/>
        </w:rPr>
        <w:t xml:space="preserve">: </w:t>
      </w:r>
      <w:r w:rsidRPr="008C48F2">
        <w:rPr>
          <w:rFonts w:ascii="David" w:hAnsi="David" w:hint="cs"/>
          <w:color w:val="002060"/>
          <w:rtl/>
        </w:rPr>
        <w:t xml:space="preserve">עתירת התובעת לקבלת חלק מההכנסות מחברות </w:t>
      </w:r>
      <w:r w:rsidRPr="008C48F2">
        <w:rPr>
          <w:rFonts w:ascii="David" w:hAnsi="David" w:hint="cs"/>
          <w:color w:val="002060"/>
        </w:rPr>
        <w:t>G</w:t>
      </w:r>
      <w:r w:rsidRPr="008C48F2">
        <w:rPr>
          <w:rFonts w:ascii="David" w:hAnsi="David" w:hint="cs"/>
          <w:color w:val="002060"/>
          <w:rtl/>
        </w:rPr>
        <w:t xml:space="preserve"> ו-</w:t>
      </w:r>
      <w:r w:rsidRPr="008C48F2">
        <w:rPr>
          <w:rFonts w:ascii="David" w:hAnsi="David" w:hint="cs"/>
          <w:color w:val="002060"/>
        </w:rPr>
        <w:t>L</w:t>
      </w:r>
      <w:r w:rsidRPr="008C48F2">
        <w:rPr>
          <w:rFonts w:ascii="David" w:hAnsi="David" w:hint="cs"/>
          <w:color w:val="002060"/>
          <w:rtl/>
        </w:rPr>
        <w:t xml:space="preserve"> לא התקבלה. נקבע כי אמנם ההתקשרות של חברת </w:t>
      </w:r>
      <w:r w:rsidRPr="008C48F2">
        <w:rPr>
          <w:rFonts w:ascii="David" w:hAnsi="David" w:hint="cs"/>
          <w:color w:val="002060"/>
        </w:rPr>
        <w:t xml:space="preserve">G </w:t>
      </w:r>
      <w:r w:rsidRPr="008C48F2">
        <w:rPr>
          <w:rFonts w:ascii="David" w:hAnsi="David" w:hint="cs"/>
          <w:color w:val="002060"/>
          <w:rtl/>
        </w:rPr>
        <w:t xml:space="preserve"> ו-</w:t>
      </w:r>
      <w:r w:rsidRPr="008C48F2">
        <w:rPr>
          <w:rFonts w:ascii="David" w:hAnsi="David" w:hint="cs"/>
          <w:color w:val="002060"/>
        </w:rPr>
        <w:t>L</w:t>
      </w:r>
      <w:r w:rsidRPr="008C48F2">
        <w:rPr>
          <w:rFonts w:ascii="David" w:hAnsi="David" w:hint="cs"/>
          <w:color w:val="002060"/>
          <w:rtl/>
        </w:rPr>
        <w:t xml:space="preserve"> היתה עם אותו לקוח עמו קיימו הנתבע ושותפו פעילות מול חברת </w:t>
      </w:r>
      <w:r w:rsidRPr="008C48F2">
        <w:rPr>
          <w:rFonts w:ascii="David" w:hAnsi="David" w:hint="cs"/>
          <w:color w:val="002060"/>
        </w:rPr>
        <w:t xml:space="preserve">N </w:t>
      </w:r>
      <w:r w:rsidRPr="008C48F2">
        <w:rPr>
          <w:rFonts w:ascii="David" w:hAnsi="David" w:hint="cs"/>
          <w:color w:val="002060"/>
          <w:rtl/>
        </w:rPr>
        <w:t xml:space="preserve"> ו-</w:t>
      </w:r>
      <w:r w:rsidRPr="008C48F2">
        <w:rPr>
          <w:rFonts w:ascii="David" w:hAnsi="David" w:hint="cs"/>
          <w:color w:val="002060"/>
        </w:rPr>
        <w:t>V</w:t>
      </w:r>
      <w:r w:rsidRPr="008C48F2">
        <w:rPr>
          <w:rFonts w:ascii="David" w:hAnsi="David" w:hint="cs"/>
          <w:color w:val="002060"/>
          <w:rtl/>
        </w:rPr>
        <w:t xml:space="preserve"> ונוצרה בעקבות קשרים ומוניטין שצבר הנתבע בתקופת הנישואין, אולם ההסכם עם חברת </w:t>
      </w:r>
      <w:r w:rsidRPr="008C48F2">
        <w:rPr>
          <w:rFonts w:ascii="David" w:hAnsi="David" w:hint="cs"/>
          <w:color w:val="002060"/>
        </w:rPr>
        <w:t>L</w:t>
      </w:r>
      <w:r w:rsidRPr="008C48F2">
        <w:rPr>
          <w:rFonts w:ascii="David" w:hAnsi="David" w:hint="cs"/>
          <w:color w:val="002060"/>
          <w:rtl/>
        </w:rPr>
        <w:t xml:space="preserve"> נכרת רק בשנת 2015 קרי כשנה וחצי לאחר מועד הקרע וכל הפעילות נעשתה משנת 2015 ואילך. על כן, מדובר בזיקה רחוקה מדי לתקופת השיתוף בנישואין כאשר ההשקעה העיקרית בוצעה תקופה ארוכה לאחר מועד הקרע. </w:t>
      </w:r>
    </w:p>
    <w:p w:rsidR="00B30DF9" w:rsidRDefault="00B30DF9" w:rsidP="00B30DF9">
      <w:pPr>
        <w:spacing w:line="360" w:lineRule="auto"/>
        <w:jc w:val="both"/>
        <w:rPr>
          <w:rFonts w:ascii="David" w:hAnsi="David"/>
          <w:b/>
          <w:bCs/>
          <w:color w:val="002060"/>
          <w:u w:val="single"/>
          <w:rtl/>
        </w:rPr>
      </w:pPr>
    </w:p>
    <w:p w:rsidR="00B30DF9" w:rsidRPr="008C48F2" w:rsidRDefault="00B30DF9" w:rsidP="00B30DF9">
      <w:pPr>
        <w:spacing w:line="360" w:lineRule="auto"/>
        <w:jc w:val="both"/>
        <w:rPr>
          <w:rFonts w:ascii="David" w:hAnsi="David"/>
          <w:color w:val="002060"/>
          <w:rtl/>
        </w:rPr>
      </w:pPr>
      <w:r w:rsidRPr="008C48F2">
        <w:rPr>
          <w:rFonts w:ascii="David" w:hAnsi="David"/>
          <w:b/>
          <w:bCs/>
          <w:color w:val="002060"/>
          <w:u w:val="single"/>
          <w:rtl/>
        </w:rPr>
        <w:t>התביעה מטעם הנתבע למתן פסק דין הצהרתי בקשר לזכויותיו בבית המגורים, פירוק השיתוף בו וחיוב התובעת בדמי שימוש ראויים</w:t>
      </w:r>
      <w:r w:rsidRPr="008C48F2">
        <w:rPr>
          <w:rFonts w:ascii="David" w:hAnsi="David" w:hint="cs"/>
          <w:color w:val="002060"/>
          <w:u w:val="single"/>
          <w:rtl/>
        </w:rPr>
        <w:t xml:space="preserve"> (סע' 255- סע' 260)</w:t>
      </w:r>
      <w:r w:rsidRPr="008C48F2">
        <w:rPr>
          <w:rFonts w:ascii="David" w:hAnsi="David" w:hint="cs"/>
          <w:color w:val="002060"/>
          <w:rtl/>
        </w:rPr>
        <w:t xml:space="preserve">: נקבע כי הגם שבית המגורים נרשם על שם התובעת בלבד, אין ספק כי מדובר בנכס משותף לשני הצדדים. עתירת הנתבע לחיוב התובעת בדמי שימוש ראויים ממועד עזיבתו את הבית בחודש ינואר 2014 נדחתה, וזאת מחמת עקרון תום הלב ונוכח התנהלות הנתבע במהלך ההליך המשפטי לעיכוב ההליכים וכן הגשת תביעה לפירוק שיתוף בטרם התבררה מצבת הרכוש האדיר בין הצדדים ובשים לב למצגיו לפיו אין בנמצא רכוש משותף למעט בית המגורים וחובות רבים. בנוסף, גם מכוח סעיף 8 (2) לחוק יחסי ממון ובראיה הכוללת של הסכסוך, לא נמצא לחייב את התובעת בדמי שימוש ראויים בגין מגוריה בבית. בנוסף, נקבע כי שורת הדין והצדק מחייבת לאפשר לתובעת להמשיך ולהתגורר בבית ולרכוש את חלקו של הנתבע באמצעות קיזוז זכויותיה כספיות שיתקבלו מהנתבע ככל שתחפוץ בכך ובהתאם להערכת שמאי שימונה מטעם ביהמ"ש. </w:t>
      </w:r>
    </w:p>
    <w:p w:rsidR="00B30DF9" w:rsidRDefault="00B30DF9" w:rsidP="00B30DF9">
      <w:pPr>
        <w:spacing w:line="360" w:lineRule="auto"/>
        <w:jc w:val="both"/>
        <w:rPr>
          <w:rFonts w:ascii="David" w:hAnsi="David"/>
          <w:b/>
          <w:bCs/>
          <w:color w:val="002060"/>
          <w:u w:val="single"/>
          <w:rtl/>
        </w:rPr>
      </w:pPr>
    </w:p>
    <w:p w:rsidR="00B30DF9" w:rsidRPr="008C48F2" w:rsidRDefault="00B30DF9" w:rsidP="00B30DF9">
      <w:pPr>
        <w:spacing w:line="360" w:lineRule="auto"/>
        <w:jc w:val="both"/>
        <w:rPr>
          <w:rFonts w:ascii="David" w:hAnsi="David"/>
          <w:color w:val="002060"/>
          <w:rtl/>
        </w:rPr>
      </w:pPr>
      <w:r w:rsidRPr="008C48F2">
        <w:rPr>
          <w:rFonts w:ascii="David" w:hAnsi="David" w:hint="cs"/>
          <w:b/>
          <w:bCs/>
          <w:color w:val="002060"/>
          <w:u w:val="single"/>
          <w:rtl/>
        </w:rPr>
        <w:t xml:space="preserve">עתירת התובעת </w:t>
      </w:r>
      <w:r w:rsidRPr="008C48F2">
        <w:rPr>
          <w:rFonts w:ascii="David" w:hAnsi="David"/>
          <w:b/>
          <w:bCs/>
          <w:color w:val="002060"/>
          <w:u w:val="single"/>
          <w:rtl/>
        </w:rPr>
        <w:t>תובעת לחלוקה לא שוויונית של הרכוש בשל פערי השתכרות ומוניטין בין הצדדים ובכלל כך להותיר את בית המגורים לבעלותה הבלעדית</w:t>
      </w:r>
      <w:r w:rsidRPr="008C48F2">
        <w:rPr>
          <w:rFonts w:ascii="David" w:hAnsi="David" w:hint="cs"/>
          <w:color w:val="002060"/>
          <w:u w:val="single"/>
          <w:rtl/>
        </w:rPr>
        <w:t xml:space="preserve"> (סע' 261- סע' 265)</w:t>
      </w:r>
      <w:r w:rsidRPr="008C48F2">
        <w:rPr>
          <w:rFonts w:ascii="David" w:hAnsi="David" w:hint="cs"/>
          <w:color w:val="002060"/>
          <w:rtl/>
        </w:rPr>
        <w:t xml:space="preserve">: עתירת התובעת לחלוקה לא שוויונית של כלל הרכוש והזכויות באופן ששיעור חלקה יהיה גבוה מ-50% לא התקבלה. נקבע כי הגם שאין ספק שכושר השתכרותו של הנתבע עולה לאין שיעור על כושר השתכרותה של התובעת, אזי שימוש ראוי במנגנון הצדק החלוקתי בא לידי ביטוי באופן חלוקת ההכנסות שהתקבלו מחברת </w:t>
      </w:r>
      <w:r w:rsidRPr="008C48F2">
        <w:rPr>
          <w:rFonts w:ascii="David" w:hAnsi="David" w:hint="cs"/>
          <w:color w:val="002060"/>
        </w:rPr>
        <w:t>N</w:t>
      </w:r>
      <w:r w:rsidRPr="008C48F2">
        <w:rPr>
          <w:rFonts w:ascii="David" w:hAnsi="David" w:hint="cs"/>
          <w:color w:val="002060"/>
          <w:rtl/>
        </w:rPr>
        <w:t xml:space="preserve"> ו- </w:t>
      </w:r>
      <w:r w:rsidRPr="008C48F2">
        <w:rPr>
          <w:rFonts w:ascii="David" w:hAnsi="David" w:hint="cs"/>
          <w:color w:val="002060"/>
        </w:rPr>
        <w:t>V</w:t>
      </w:r>
      <w:r w:rsidRPr="008C48F2">
        <w:rPr>
          <w:rFonts w:ascii="David" w:hAnsi="David" w:hint="cs"/>
          <w:color w:val="002060"/>
          <w:rtl/>
        </w:rPr>
        <w:t xml:space="preserve"> לעיל. הכנסות אלו טומנות בחובן רכיבים מסוימים של כושר השתכרות של הנתבע ובדרך זו בא לידי ביטוי האיזון בפער בכושר ההשתכרות. </w:t>
      </w:r>
    </w:p>
    <w:p w:rsidR="00B30DF9" w:rsidRPr="008C48F2" w:rsidRDefault="00B30DF9" w:rsidP="00B30DF9">
      <w:pPr>
        <w:spacing w:line="360" w:lineRule="auto"/>
        <w:jc w:val="both"/>
        <w:rPr>
          <w:rFonts w:ascii="David" w:hAnsi="David"/>
          <w:color w:val="002060"/>
          <w:rtl/>
        </w:rPr>
      </w:pPr>
      <w:r w:rsidRPr="008C48F2">
        <w:rPr>
          <w:rFonts w:ascii="David" w:hAnsi="David" w:hint="cs"/>
          <w:b/>
          <w:bCs/>
          <w:color w:val="002060"/>
          <w:u w:val="single"/>
          <w:rtl/>
        </w:rPr>
        <w:lastRenderedPageBreak/>
        <w:t>מזונות אישה</w:t>
      </w:r>
      <w:r w:rsidRPr="008C48F2">
        <w:rPr>
          <w:rFonts w:ascii="David" w:hAnsi="David" w:hint="cs"/>
          <w:color w:val="002060"/>
          <w:u w:val="single"/>
          <w:rtl/>
        </w:rPr>
        <w:t xml:space="preserve"> (סע' 269- סע' 279)</w:t>
      </w:r>
      <w:r w:rsidRPr="008C48F2">
        <w:rPr>
          <w:rFonts w:ascii="David" w:hAnsi="David" w:hint="cs"/>
          <w:color w:val="002060"/>
          <w:rtl/>
        </w:rPr>
        <w:t xml:space="preserve">: נקבע כי לאחר שהתבררה התמונה אודות הכנסותיו של הנתבע וכן התובעת צירפה את המסמכים הנדרשים, אזי התובעת זכאית למזונות אישה בהתאם למלוא עתירותיה שלא נסתרו ע"י הנתבע. במקרה דנן, הצדדים חיו ברמת חיים גבוהה ביותר כאשר הוכחו פערי הכנסות אדירים בין הצדדים כאשר מערכת היחסים בין הצדדים הושתתה על כך שהנתבע הינו המפרנס העיקרי של הבית. בנוסף, הנתבע לא סתר את טענות התובעת אודות הכנסות הצדדים, אלא פעל להסתרת הכנסותיו. בנוסף, בניגוד למצג שהציג במהלך הדיון בבקשה למזונות זמניים, אודות קריסה כלכלית וחובות רבים, התברר כי פרק זמן קצר לאחר מכן החל בביצוע עסקאות ענק מול חברת </w:t>
      </w:r>
      <w:r w:rsidRPr="008C48F2">
        <w:rPr>
          <w:rFonts w:ascii="David" w:hAnsi="David" w:hint="cs"/>
          <w:color w:val="002060"/>
        </w:rPr>
        <w:t>N</w:t>
      </w:r>
      <w:r w:rsidRPr="008C48F2">
        <w:rPr>
          <w:rFonts w:ascii="David" w:hAnsi="David" w:hint="cs"/>
          <w:color w:val="002060"/>
          <w:rtl/>
        </w:rPr>
        <w:t xml:space="preserve"> ו-</w:t>
      </w:r>
      <w:r w:rsidRPr="008C48F2">
        <w:rPr>
          <w:rFonts w:ascii="David" w:hAnsi="David" w:hint="cs"/>
          <w:color w:val="002060"/>
        </w:rPr>
        <w:t>V</w:t>
      </w:r>
      <w:r w:rsidRPr="008C48F2">
        <w:rPr>
          <w:rFonts w:ascii="David" w:hAnsi="David" w:hint="cs"/>
          <w:color w:val="002060"/>
          <w:rtl/>
        </w:rPr>
        <w:t xml:space="preserve"> וקיבל כספים במיליוני ₪. על כן, חויב הנתבע לשאת במזונות התובעת כולל הוצאות מדורה בשיעור של 21,768 ₪ לחודש, החל ממועד הגשת התביעה ועד למועד סידור הגט. </w:t>
      </w:r>
    </w:p>
    <w:p w:rsidR="00B30DF9" w:rsidRPr="008C48F2" w:rsidRDefault="00B30DF9" w:rsidP="00B30DF9">
      <w:pPr>
        <w:spacing w:line="360" w:lineRule="auto"/>
        <w:jc w:val="both"/>
        <w:rPr>
          <w:rFonts w:ascii="David" w:hAnsi="David"/>
          <w:color w:val="002060"/>
        </w:rPr>
      </w:pPr>
      <w:r w:rsidRPr="008C48F2">
        <w:rPr>
          <w:rFonts w:ascii="David" w:hAnsi="David" w:hint="cs"/>
          <w:b/>
          <w:bCs/>
          <w:color w:val="002060"/>
          <w:u w:val="single"/>
          <w:rtl/>
        </w:rPr>
        <w:t>הוצאות משפט</w:t>
      </w:r>
      <w:r w:rsidRPr="008C48F2">
        <w:rPr>
          <w:rFonts w:ascii="David" w:hAnsi="David" w:hint="cs"/>
          <w:color w:val="002060"/>
          <w:rtl/>
        </w:rPr>
        <w:t>: בהתאם לשיקולים המנחים בבג"צ 891/05 תנובה נ' הרשות המוסמכת, הנתבע חויב בהוצאות התובעת בגין ניהול ההליכים המשפטיים בסך של 350,000 ₪. כמו כן, בשיעור של 75% מעלות שכ"ט המומחה, ואילו התובעת בשיעור של 25% מעלות זו.</w:t>
      </w:r>
      <w:r w:rsidRPr="008C48F2">
        <w:rPr>
          <w:rFonts w:ascii="David" w:hAnsi="David" w:hint="cs"/>
          <w:b/>
          <w:bCs/>
          <w:color w:val="002060"/>
          <w:u w:val="single"/>
          <w:rtl/>
        </w:rPr>
        <w:t xml:space="preserve"> </w:t>
      </w:r>
      <w:r w:rsidRPr="008C48F2">
        <w:rPr>
          <w:rFonts w:ascii="David" w:hAnsi="David" w:hint="cs"/>
          <w:color w:val="002060"/>
          <w:rtl/>
        </w:rPr>
        <w:t xml:space="preserve"> </w:t>
      </w:r>
    </w:p>
    <w:p w:rsidR="00FE5C78" w:rsidRPr="00B30DF9" w:rsidRDefault="00FE5C78" w:rsidP="00630366">
      <w:pPr>
        <w:spacing w:after="120" w:line="360" w:lineRule="auto"/>
        <w:jc w:val="both"/>
        <w:rPr>
          <w:rFonts w:ascii="FrankRuehl" w:hAnsi="FrankRuehl" w:cs="FrankRuehl"/>
          <w:color w:val="17365D" w:themeColor="text2" w:themeShade="BF"/>
          <w:sz w:val="26"/>
          <w:szCs w:val="26"/>
          <w:rtl/>
        </w:rPr>
      </w:pPr>
    </w:p>
    <w:p w:rsidR="00B30DF9" w:rsidRPr="00460FA3" w:rsidRDefault="00B30DF9" w:rsidP="00630366">
      <w:pPr>
        <w:spacing w:after="120" w:line="360" w:lineRule="auto"/>
        <w:jc w:val="both"/>
        <w:rPr>
          <w:rFonts w:ascii="FrankRuehl" w:hAnsi="FrankRuehl" w:cs="FrankRuehl"/>
          <w:color w:val="17365D" w:themeColor="text2" w:themeShade="BF"/>
          <w:sz w:val="26"/>
          <w:szCs w:val="26"/>
          <w:rtl/>
        </w:rPr>
      </w:pPr>
    </w:p>
    <w:p w:rsidR="007B58D3" w:rsidRPr="00460FA3" w:rsidRDefault="007B58D3" w:rsidP="00630366">
      <w:pPr>
        <w:spacing w:after="120" w:line="360" w:lineRule="auto"/>
        <w:jc w:val="both"/>
        <w:rPr>
          <w:rFonts w:ascii="FrankRuehl" w:hAnsi="FrankRuehl" w:cs="FrankRuehl"/>
          <w:color w:val="17365D" w:themeColor="text2" w:themeShade="BF"/>
          <w:sz w:val="26"/>
          <w:szCs w:val="26"/>
          <w:rtl/>
        </w:rPr>
      </w:pPr>
    </w:p>
    <w:p w:rsidR="00E20667" w:rsidRPr="00460FA3" w:rsidRDefault="00630366" w:rsidP="00BB5080">
      <w:pPr>
        <w:pStyle w:val="ae"/>
        <w:numPr>
          <w:ilvl w:val="0"/>
          <w:numId w:val="14"/>
        </w:numPr>
        <w:spacing w:after="120" w:line="360" w:lineRule="auto"/>
        <w:jc w:val="both"/>
        <w:rPr>
          <w:rFonts w:ascii="FrankRuehl" w:hAnsi="FrankRuehl" w:cs="FrankRuehl"/>
          <w:color w:val="17365D" w:themeColor="text2" w:themeShade="BF"/>
          <w:sz w:val="26"/>
          <w:szCs w:val="26"/>
        </w:rPr>
      </w:pPr>
      <w:r w:rsidRPr="00460FA3">
        <w:rPr>
          <w:rFonts w:ascii="FrankRuehl" w:hAnsi="FrankRuehl" w:cs="FrankRuehl"/>
          <w:color w:val="17365D" w:themeColor="text2" w:themeShade="BF"/>
          <w:sz w:val="26"/>
          <w:szCs w:val="26"/>
          <w:rtl/>
        </w:rPr>
        <w:t>התקציר אינו בא להחליף את פסק</w:t>
      </w:r>
      <w:r w:rsidR="00BB5080" w:rsidRPr="00460FA3">
        <w:rPr>
          <w:rFonts w:ascii="FrankRuehl" w:hAnsi="FrankRuehl" w:cs="FrankRuehl" w:hint="cs"/>
          <w:color w:val="17365D" w:themeColor="text2" w:themeShade="BF"/>
          <w:sz w:val="26"/>
          <w:szCs w:val="26"/>
          <w:rtl/>
        </w:rPr>
        <w:t>-</w:t>
      </w:r>
      <w:r w:rsidRPr="00460FA3">
        <w:rPr>
          <w:rFonts w:ascii="FrankRuehl" w:hAnsi="FrankRuehl" w:cs="FrankRuehl"/>
          <w:color w:val="17365D" w:themeColor="text2" w:themeShade="BF"/>
          <w:sz w:val="26"/>
          <w:szCs w:val="26"/>
          <w:rtl/>
        </w:rPr>
        <w:t>הדין, הנוסח המחייב הוא זה של פסק-הדין המלא.</w:t>
      </w:r>
    </w:p>
    <w:sectPr w:rsidR="00E20667" w:rsidRPr="00460FA3" w:rsidSect="00991F17">
      <w:headerReference w:type="default" r:id="rId9"/>
      <w:footerReference w:type="default" r:id="rId10"/>
      <w:pgSz w:w="11907" w:h="16840" w:code="9"/>
      <w:pgMar w:top="1440" w:right="1191" w:bottom="1440" w:left="1191"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6FE7" w:rsidRDefault="003B6FE7">
      <w:r>
        <w:separator/>
      </w:r>
    </w:p>
  </w:endnote>
  <w:endnote w:type="continuationSeparator" w:id="0">
    <w:p w:rsidR="003B6FE7" w:rsidRDefault="003B6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B86261">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B86261">
      <w:rPr>
        <w:rStyle w:val="ac"/>
        <w:rtl/>
      </w:rPr>
      <w:t>4</w:t>
    </w:r>
    <w:r w:rsidRPr="004E6E3C">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6FE7" w:rsidRDefault="003B6FE7">
      <w:r>
        <w:separator/>
      </w:r>
    </w:p>
  </w:footnote>
  <w:footnote w:type="continuationSeparator" w:id="0">
    <w:p w:rsidR="003B6FE7" w:rsidRDefault="003B6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366" w:rsidRDefault="00630366" w:rsidP="00630366">
    <w:pPr>
      <w:pStyle w:val="a3"/>
      <w:jc w:val="center"/>
      <w:rPr>
        <w:rFonts w:cs="FrankRuehl"/>
        <w:noProof w:val="0"/>
        <w:sz w:val="28"/>
        <w:szCs w:val="28"/>
        <w:rtl/>
      </w:rPr>
    </w:pPr>
    <w:r>
      <w:rPr>
        <w:rFonts w:cs="FrankRuehl"/>
        <w:sz w:val="28"/>
        <w:szCs w:val="28"/>
      </w:rPr>
      <w:drawing>
        <wp:inline distT="0" distB="0" distL="0" distR="0" wp14:anchorId="7A420659" wp14:editId="51FA819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721"/>
    </w:tblGrid>
    <w:tr w:rsidR="00630366" w:rsidTr="00C35A3F">
      <w:trPr>
        <w:trHeight w:hRule="exact" w:val="670"/>
        <w:jc w:val="center"/>
      </w:trPr>
      <w:sdt>
        <w:sdtPr>
          <w:rPr>
            <w:sz w:val="32"/>
            <w:szCs w:val="32"/>
            <w:rtl/>
          </w:rPr>
          <w:alias w:val="1174"/>
          <w:tag w:val="1174"/>
          <w:id w:val="-1775709220"/>
          <w:text/>
        </w:sdtPr>
        <w:sdtEndPr/>
        <w:sdtContent>
          <w:tc>
            <w:tcPr>
              <w:tcW w:w="8721" w:type="dxa"/>
            </w:tcPr>
            <w:p w:rsidR="00630366" w:rsidRPr="00CD0055" w:rsidRDefault="005B0B24" w:rsidP="00B30DF9">
              <w:pPr>
                <w:pStyle w:val="a3"/>
                <w:jc w:val="center"/>
                <w:rPr>
                  <w:rFonts w:ascii="Tahoma" w:hAnsi="Tahoma"/>
                  <w:noProof w:val="0"/>
                  <w:color w:val="000080"/>
                  <w:sz w:val="32"/>
                  <w:szCs w:val="32"/>
                  <w:rtl/>
                </w:rPr>
              </w:pPr>
              <w:r>
                <w:rPr>
                  <w:rFonts w:ascii="Tahoma" w:hAnsi="Tahoma"/>
                  <w:b/>
                  <w:bCs/>
                  <w:noProof w:val="0"/>
                  <w:color w:val="000080"/>
                  <w:sz w:val="32"/>
                  <w:szCs w:val="32"/>
                  <w:rtl/>
                </w:rPr>
                <w:t xml:space="preserve">בית </w:t>
              </w:r>
              <w:r w:rsidR="00B30DF9">
                <w:rPr>
                  <w:rFonts w:ascii="Tahoma" w:hAnsi="Tahoma" w:hint="cs"/>
                  <w:b/>
                  <w:bCs/>
                  <w:noProof w:val="0"/>
                  <w:color w:val="000080"/>
                  <w:sz w:val="32"/>
                  <w:szCs w:val="32"/>
                  <w:rtl/>
                </w:rPr>
                <w:t>ה</w:t>
              </w:r>
              <w:r w:rsidR="00630366" w:rsidRPr="00CD0055">
                <w:rPr>
                  <w:rFonts w:ascii="Tahoma" w:hAnsi="Tahoma"/>
                  <w:b/>
                  <w:bCs/>
                  <w:noProof w:val="0"/>
                  <w:color w:val="000080"/>
                  <w:sz w:val="32"/>
                  <w:szCs w:val="32"/>
                  <w:rtl/>
                </w:rPr>
                <w:t xml:space="preserve">משפט </w:t>
              </w:r>
              <w:r w:rsidR="00B30DF9">
                <w:rPr>
                  <w:rFonts w:ascii="Tahoma" w:hAnsi="Tahoma" w:hint="cs"/>
                  <w:b/>
                  <w:bCs/>
                  <w:noProof w:val="0"/>
                  <w:color w:val="000080"/>
                  <w:sz w:val="32"/>
                  <w:szCs w:val="32"/>
                  <w:rtl/>
                </w:rPr>
                <w:t xml:space="preserve">לענייני משפחה </w:t>
              </w:r>
              <w:r w:rsidR="00630366" w:rsidRPr="00CD0055">
                <w:rPr>
                  <w:rFonts w:ascii="Tahoma" w:hAnsi="Tahoma"/>
                  <w:b/>
                  <w:bCs/>
                  <w:noProof w:val="0"/>
                  <w:color w:val="000080"/>
                  <w:sz w:val="32"/>
                  <w:szCs w:val="32"/>
                  <w:rtl/>
                </w:rPr>
                <w:t>בתל אביב - יפו</w:t>
              </w:r>
            </w:p>
          </w:tc>
        </w:sdtContent>
      </w:sdt>
    </w:tr>
  </w:tbl>
  <w:p w:rsidR="00694556" w:rsidRDefault="00694556" w:rsidP="00630366">
    <w:pPr>
      <w:pStyle w:val="a3"/>
      <w:rPr>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73C17"/>
    <w:multiLevelType w:val="hybridMultilevel"/>
    <w:tmpl w:val="F4286D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B863AD5"/>
    <w:multiLevelType w:val="hybridMultilevel"/>
    <w:tmpl w:val="0730F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BE19DB"/>
    <w:multiLevelType w:val="hybridMultilevel"/>
    <w:tmpl w:val="F9ACFB78"/>
    <w:lvl w:ilvl="0" w:tplc="19A65FC8">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82B43"/>
    <w:multiLevelType w:val="hybridMultilevel"/>
    <w:tmpl w:val="A7D63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1753C6"/>
    <w:multiLevelType w:val="hybridMultilevel"/>
    <w:tmpl w:val="5C0A76F8"/>
    <w:lvl w:ilvl="0" w:tplc="78501858">
      <w:start w:val="124"/>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5" w15:restartNumberingAfterBreak="0">
    <w:nsid w:val="2C3119F5"/>
    <w:multiLevelType w:val="hybridMultilevel"/>
    <w:tmpl w:val="C02A9522"/>
    <w:lvl w:ilvl="0" w:tplc="E600161A">
      <w:start w:val="1"/>
      <w:numFmt w:val="hebrew1"/>
      <w:lvlText w:val="%1."/>
      <w:lvlJc w:val="left"/>
      <w:pPr>
        <w:ind w:left="870" w:hanging="360"/>
      </w:pPr>
    </w:lvl>
    <w:lvl w:ilvl="1" w:tplc="5274BB4A">
      <w:start w:val="1"/>
      <w:numFmt w:val="lowerLetter"/>
      <w:lvlText w:val="%2."/>
      <w:lvlJc w:val="left"/>
      <w:pPr>
        <w:ind w:left="1590" w:hanging="360"/>
      </w:pPr>
    </w:lvl>
    <w:lvl w:ilvl="2" w:tplc="ABF8BE68">
      <w:start w:val="1"/>
      <w:numFmt w:val="lowerRoman"/>
      <w:lvlText w:val="%3."/>
      <w:lvlJc w:val="right"/>
      <w:pPr>
        <w:ind w:left="2310" w:hanging="180"/>
      </w:pPr>
    </w:lvl>
    <w:lvl w:ilvl="3" w:tplc="46CC4F80">
      <w:start w:val="1"/>
      <w:numFmt w:val="decimal"/>
      <w:lvlText w:val="%4."/>
      <w:lvlJc w:val="left"/>
      <w:pPr>
        <w:ind w:left="3030" w:hanging="360"/>
      </w:pPr>
    </w:lvl>
    <w:lvl w:ilvl="4" w:tplc="66288980">
      <w:start w:val="1"/>
      <w:numFmt w:val="lowerLetter"/>
      <w:lvlText w:val="%5."/>
      <w:lvlJc w:val="left"/>
      <w:pPr>
        <w:ind w:left="3750" w:hanging="360"/>
      </w:pPr>
    </w:lvl>
    <w:lvl w:ilvl="5" w:tplc="93E88EDE">
      <w:start w:val="1"/>
      <w:numFmt w:val="lowerRoman"/>
      <w:lvlText w:val="%6."/>
      <w:lvlJc w:val="right"/>
      <w:pPr>
        <w:ind w:left="4470" w:hanging="180"/>
      </w:pPr>
    </w:lvl>
    <w:lvl w:ilvl="6" w:tplc="5B44B476">
      <w:start w:val="1"/>
      <w:numFmt w:val="decimal"/>
      <w:lvlText w:val="%7."/>
      <w:lvlJc w:val="left"/>
      <w:pPr>
        <w:ind w:left="5190" w:hanging="360"/>
      </w:pPr>
    </w:lvl>
    <w:lvl w:ilvl="7" w:tplc="B52261B4">
      <w:start w:val="1"/>
      <w:numFmt w:val="lowerLetter"/>
      <w:lvlText w:val="%8."/>
      <w:lvlJc w:val="left"/>
      <w:pPr>
        <w:ind w:left="5910" w:hanging="360"/>
      </w:pPr>
    </w:lvl>
    <w:lvl w:ilvl="8" w:tplc="AE44E7F2">
      <w:start w:val="1"/>
      <w:numFmt w:val="lowerRoman"/>
      <w:lvlText w:val="%9."/>
      <w:lvlJc w:val="right"/>
      <w:pPr>
        <w:ind w:left="6630" w:hanging="180"/>
      </w:pPr>
    </w:lvl>
  </w:abstractNum>
  <w:abstractNum w:abstractNumId="6" w15:restartNumberingAfterBreak="0">
    <w:nsid w:val="4437233A"/>
    <w:multiLevelType w:val="hybridMultilevel"/>
    <w:tmpl w:val="E340A30C"/>
    <w:lvl w:ilvl="0" w:tplc="AEE63E56">
      <w:start w:val="1"/>
      <w:numFmt w:val="decimal"/>
      <w:lvlText w:val="%1."/>
      <w:lvlJc w:val="left"/>
      <w:pPr>
        <w:ind w:left="360" w:hanging="360"/>
      </w:pPr>
      <w:rPr>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C45047"/>
    <w:multiLevelType w:val="hybridMultilevel"/>
    <w:tmpl w:val="FC3ADB6A"/>
    <w:lvl w:ilvl="0" w:tplc="C546AD1E">
      <w:start w:val="15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1D35B9"/>
    <w:multiLevelType w:val="hybridMultilevel"/>
    <w:tmpl w:val="72209954"/>
    <w:lvl w:ilvl="0" w:tplc="04090013">
      <w:start w:val="1"/>
      <w:numFmt w:val="hebrew1"/>
      <w:lvlText w:val="%1."/>
      <w:lvlJc w:val="center"/>
      <w:pPr>
        <w:ind w:left="720" w:hanging="360"/>
      </w:pPr>
      <w:rPr>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9279D"/>
    <w:multiLevelType w:val="hybridMultilevel"/>
    <w:tmpl w:val="279606D8"/>
    <w:lvl w:ilvl="0" w:tplc="F716C0E6">
      <w:start w:val="1"/>
      <w:numFmt w:val="decimal"/>
      <w:lvlText w:val="%1."/>
      <w:lvlJc w:val="left"/>
      <w:pPr>
        <w:ind w:left="360" w:hanging="360"/>
      </w:pPr>
      <w:rPr>
        <w:rFonts w:cs="David"/>
        <w:lang w:bidi="he-IL"/>
      </w:rPr>
    </w:lvl>
    <w:lvl w:ilvl="1" w:tplc="A83A6B24">
      <w:start w:val="1"/>
      <w:numFmt w:val="lowerLetter"/>
      <w:lvlText w:val="%2."/>
      <w:lvlJc w:val="left"/>
      <w:pPr>
        <w:ind w:left="1080" w:hanging="360"/>
      </w:pPr>
    </w:lvl>
    <w:lvl w:ilvl="2" w:tplc="B68A81AE">
      <w:start w:val="1"/>
      <w:numFmt w:val="lowerRoman"/>
      <w:lvlText w:val="%3."/>
      <w:lvlJc w:val="right"/>
      <w:pPr>
        <w:ind w:left="1800" w:hanging="180"/>
      </w:pPr>
    </w:lvl>
    <w:lvl w:ilvl="3" w:tplc="66100B20">
      <w:start w:val="1"/>
      <w:numFmt w:val="decimal"/>
      <w:lvlText w:val="%4."/>
      <w:lvlJc w:val="left"/>
      <w:pPr>
        <w:ind w:left="2520" w:hanging="360"/>
      </w:pPr>
    </w:lvl>
    <w:lvl w:ilvl="4" w:tplc="0E7ACD7A">
      <w:start w:val="1"/>
      <w:numFmt w:val="lowerLetter"/>
      <w:lvlText w:val="%5."/>
      <w:lvlJc w:val="left"/>
      <w:pPr>
        <w:ind w:left="3240" w:hanging="360"/>
      </w:pPr>
    </w:lvl>
    <w:lvl w:ilvl="5" w:tplc="53AE8AAC">
      <w:start w:val="1"/>
      <w:numFmt w:val="lowerRoman"/>
      <w:lvlText w:val="%6."/>
      <w:lvlJc w:val="right"/>
      <w:pPr>
        <w:ind w:left="3960" w:hanging="180"/>
      </w:pPr>
    </w:lvl>
    <w:lvl w:ilvl="6" w:tplc="7436A5C4">
      <w:start w:val="1"/>
      <w:numFmt w:val="decimal"/>
      <w:lvlText w:val="%7."/>
      <w:lvlJc w:val="left"/>
      <w:pPr>
        <w:ind w:left="4680" w:hanging="360"/>
      </w:pPr>
    </w:lvl>
    <w:lvl w:ilvl="7" w:tplc="B8CE44DA">
      <w:start w:val="1"/>
      <w:numFmt w:val="lowerLetter"/>
      <w:lvlText w:val="%8."/>
      <w:lvlJc w:val="left"/>
      <w:pPr>
        <w:ind w:left="5400" w:hanging="360"/>
      </w:pPr>
    </w:lvl>
    <w:lvl w:ilvl="8" w:tplc="C930AB76">
      <w:start w:val="1"/>
      <w:numFmt w:val="lowerRoman"/>
      <w:lvlText w:val="%9."/>
      <w:lvlJc w:val="right"/>
      <w:pPr>
        <w:ind w:left="6120" w:hanging="180"/>
      </w:pPr>
    </w:lvl>
  </w:abstractNum>
  <w:abstractNum w:abstractNumId="10" w15:restartNumberingAfterBreak="0">
    <w:nsid w:val="660B7902"/>
    <w:multiLevelType w:val="hybridMultilevel"/>
    <w:tmpl w:val="056E8DBE"/>
    <w:lvl w:ilvl="0" w:tplc="A90CD6D4">
      <w:start w:val="1"/>
      <w:numFmt w:val="hebrew1"/>
      <w:lvlText w:val="%1."/>
      <w:lvlJc w:val="left"/>
      <w:pPr>
        <w:ind w:left="870" w:hanging="360"/>
      </w:pPr>
    </w:lvl>
    <w:lvl w:ilvl="1" w:tplc="17B267BA">
      <w:start w:val="1"/>
      <w:numFmt w:val="lowerLetter"/>
      <w:lvlText w:val="%2."/>
      <w:lvlJc w:val="left"/>
      <w:pPr>
        <w:ind w:left="1440" w:hanging="360"/>
      </w:pPr>
    </w:lvl>
    <w:lvl w:ilvl="2" w:tplc="CEE832BC">
      <w:start w:val="1"/>
      <w:numFmt w:val="lowerRoman"/>
      <w:lvlText w:val="%3."/>
      <w:lvlJc w:val="right"/>
      <w:pPr>
        <w:ind w:left="2160" w:hanging="180"/>
      </w:pPr>
    </w:lvl>
    <w:lvl w:ilvl="3" w:tplc="BEE4D402">
      <w:start w:val="1"/>
      <w:numFmt w:val="decimal"/>
      <w:lvlText w:val="%4."/>
      <w:lvlJc w:val="left"/>
      <w:pPr>
        <w:ind w:left="2880" w:hanging="360"/>
      </w:pPr>
    </w:lvl>
    <w:lvl w:ilvl="4" w:tplc="E110CAEE">
      <w:start w:val="1"/>
      <w:numFmt w:val="lowerLetter"/>
      <w:lvlText w:val="%5."/>
      <w:lvlJc w:val="left"/>
      <w:pPr>
        <w:ind w:left="3600" w:hanging="360"/>
      </w:pPr>
    </w:lvl>
    <w:lvl w:ilvl="5" w:tplc="C3369B1E">
      <w:start w:val="1"/>
      <w:numFmt w:val="lowerRoman"/>
      <w:lvlText w:val="%6."/>
      <w:lvlJc w:val="right"/>
      <w:pPr>
        <w:ind w:left="4320" w:hanging="180"/>
      </w:pPr>
    </w:lvl>
    <w:lvl w:ilvl="6" w:tplc="75E2CC32">
      <w:start w:val="1"/>
      <w:numFmt w:val="decimal"/>
      <w:lvlText w:val="%7."/>
      <w:lvlJc w:val="left"/>
      <w:pPr>
        <w:ind w:left="5040" w:hanging="360"/>
      </w:pPr>
    </w:lvl>
    <w:lvl w:ilvl="7" w:tplc="59BC0CE4">
      <w:start w:val="1"/>
      <w:numFmt w:val="lowerLetter"/>
      <w:lvlText w:val="%8."/>
      <w:lvlJc w:val="left"/>
      <w:pPr>
        <w:ind w:left="5760" w:hanging="360"/>
      </w:pPr>
    </w:lvl>
    <w:lvl w:ilvl="8" w:tplc="C2C238B6">
      <w:start w:val="1"/>
      <w:numFmt w:val="lowerRoman"/>
      <w:lvlText w:val="%9."/>
      <w:lvlJc w:val="right"/>
      <w:pPr>
        <w:ind w:left="6480" w:hanging="180"/>
      </w:pPr>
    </w:lvl>
  </w:abstractNum>
  <w:abstractNum w:abstractNumId="11" w15:restartNumberingAfterBreak="0">
    <w:nsid w:val="66C30588"/>
    <w:multiLevelType w:val="hybridMultilevel"/>
    <w:tmpl w:val="A732B970"/>
    <w:lvl w:ilvl="0" w:tplc="1B0010E6">
      <w:start w:val="151"/>
      <w:numFmt w:val="decimal"/>
      <w:lvlText w:val="%1."/>
      <w:lvlJc w:val="left"/>
      <w:pPr>
        <w:ind w:left="375" w:hanging="375"/>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2" w15:restartNumberingAfterBreak="0">
    <w:nsid w:val="6E8B2360"/>
    <w:multiLevelType w:val="hybridMultilevel"/>
    <w:tmpl w:val="976C8472"/>
    <w:lvl w:ilvl="0" w:tplc="73CE38B6">
      <w:start w:val="1"/>
      <w:numFmt w:val="decimal"/>
      <w:lvlText w:val="%1."/>
      <w:lvlJc w:val="left"/>
      <w:pPr>
        <w:ind w:left="360" w:hanging="360"/>
      </w:pPr>
      <w:rPr>
        <w:b w:val="0"/>
        <w:bCs w:val="0"/>
        <w:lang w:val="en-U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6"/>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4"/>
  </w:num>
  <w:num w:numId="9">
    <w:abstractNumId w:val="7"/>
  </w:num>
  <w:num w:numId="10">
    <w:abstractNumId w:val="11"/>
  </w:num>
  <w:num w:numId="11">
    <w:abstractNumId w:val="1"/>
  </w:num>
  <w:num w:numId="12">
    <w:abstractNumId w:val="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0403"/>
    <w:rsid w:val="00001BF8"/>
    <w:rsid w:val="0000226B"/>
    <w:rsid w:val="000032D4"/>
    <w:rsid w:val="00005C8B"/>
    <w:rsid w:val="00006899"/>
    <w:rsid w:val="00014842"/>
    <w:rsid w:val="0001556A"/>
    <w:rsid w:val="00016B81"/>
    <w:rsid w:val="0001781B"/>
    <w:rsid w:val="000229BA"/>
    <w:rsid w:val="00022D1E"/>
    <w:rsid w:val="000232B9"/>
    <w:rsid w:val="00027EDE"/>
    <w:rsid w:val="00031F3A"/>
    <w:rsid w:val="00032554"/>
    <w:rsid w:val="00035924"/>
    <w:rsid w:val="000363A7"/>
    <w:rsid w:val="00043521"/>
    <w:rsid w:val="00044E49"/>
    <w:rsid w:val="000529D2"/>
    <w:rsid w:val="000564AB"/>
    <w:rsid w:val="00062BD5"/>
    <w:rsid w:val="00064FBD"/>
    <w:rsid w:val="000666C5"/>
    <w:rsid w:val="00067C34"/>
    <w:rsid w:val="000716BD"/>
    <w:rsid w:val="000728BC"/>
    <w:rsid w:val="000757F6"/>
    <w:rsid w:val="00082AB2"/>
    <w:rsid w:val="00083E13"/>
    <w:rsid w:val="000862B1"/>
    <w:rsid w:val="000906FE"/>
    <w:rsid w:val="00096101"/>
    <w:rsid w:val="00096AF7"/>
    <w:rsid w:val="0009760B"/>
    <w:rsid w:val="000A3AE9"/>
    <w:rsid w:val="000A66D3"/>
    <w:rsid w:val="000A6D80"/>
    <w:rsid w:val="000A6DB8"/>
    <w:rsid w:val="000B344B"/>
    <w:rsid w:val="000C16E5"/>
    <w:rsid w:val="000C236D"/>
    <w:rsid w:val="000C3246"/>
    <w:rsid w:val="000C3B0F"/>
    <w:rsid w:val="000C3B60"/>
    <w:rsid w:val="000D007D"/>
    <w:rsid w:val="000D197E"/>
    <w:rsid w:val="000D3652"/>
    <w:rsid w:val="000D5970"/>
    <w:rsid w:val="000D6824"/>
    <w:rsid w:val="000D6B6C"/>
    <w:rsid w:val="000E048A"/>
    <w:rsid w:val="000E0DD2"/>
    <w:rsid w:val="000E20F2"/>
    <w:rsid w:val="000E3AF1"/>
    <w:rsid w:val="000E4826"/>
    <w:rsid w:val="000F0BC8"/>
    <w:rsid w:val="000F0DD6"/>
    <w:rsid w:val="000F6671"/>
    <w:rsid w:val="00101CF1"/>
    <w:rsid w:val="00105959"/>
    <w:rsid w:val="00107E6D"/>
    <w:rsid w:val="0011194C"/>
    <w:rsid w:val="00113639"/>
    <w:rsid w:val="001138DB"/>
    <w:rsid w:val="0011424C"/>
    <w:rsid w:val="001173C6"/>
    <w:rsid w:val="0012182F"/>
    <w:rsid w:val="00124FB9"/>
    <w:rsid w:val="00126214"/>
    <w:rsid w:val="001367BC"/>
    <w:rsid w:val="001379A2"/>
    <w:rsid w:val="00140EC9"/>
    <w:rsid w:val="00142CED"/>
    <w:rsid w:val="00144D2A"/>
    <w:rsid w:val="0014653E"/>
    <w:rsid w:val="00147797"/>
    <w:rsid w:val="00150279"/>
    <w:rsid w:val="00151E3C"/>
    <w:rsid w:val="00154E7C"/>
    <w:rsid w:val="0015607B"/>
    <w:rsid w:val="00160137"/>
    <w:rsid w:val="00163773"/>
    <w:rsid w:val="00165D67"/>
    <w:rsid w:val="00165EAB"/>
    <w:rsid w:val="00173D57"/>
    <w:rsid w:val="00175F49"/>
    <w:rsid w:val="00180519"/>
    <w:rsid w:val="00181954"/>
    <w:rsid w:val="0018555E"/>
    <w:rsid w:val="00187D05"/>
    <w:rsid w:val="00191C82"/>
    <w:rsid w:val="001A02C2"/>
    <w:rsid w:val="001A5CB7"/>
    <w:rsid w:val="001A7177"/>
    <w:rsid w:val="001B0781"/>
    <w:rsid w:val="001B088D"/>
    <w:rsid w:val="001B7D56"/>
    <w:rsid w:val="001C0661"/>
    <w:rsid w:val="001C4003"/>
    <w:rsid w:val="001C757F"/>
    <w:rsid w:val="001C767A"/>
    <w:rsid w:val="001C7F61"/>
    <w:rsid w:val="001D0A47"/>
    <w:rsid w:val="001D4DBF"/>
    <w:rsid w:val="001D5514"/>
    <w:rsid w:val="001D6B95"/>
    <w:rsid w:val="001E5790"/>
    <w:rsid w:val="001E75CA"/>
    <w:rsid w:val="001F25DA"/>
    <w:rsid w:val="001F49DC"/>
    <w:rsid w:val="001F6CE8"/>
    <w:rsid w:val="00206D9F"/>
    <w:rsid w:val="00212A68"/>
    <w:rsid w:val="002146ED"/>
    <w:rsid w:val="00222DE7"/>
    <w:rsid w:val="002265FF"/>
    <w:rsid w:val="00227882"/>
    <w:rsid w:val="00227A7D"/>
    <w:rsid w:val="00236D1D"/>
    <w:rsid w:val="00237C3F"/>
    <w:rsid w:val="00241DBF"/>
    <w:rsid w:val="00245081"/>
    <w:rsid w:val="0024711C"/>
    <w:rsid w:val="00252AD9"/>
    <w:rsid w:val="00255C13"/>
    <w:rsid w:val="00255E10"/>
    <w:rsid w:val="00263A30"/>
    <w:rsid w:val="00266275"/>
    <w:rsid w:val="00271B56"/>
    <w:rsid w:val="0027240F"/>
    <w:rsid w:val="002724CC"/>
    <w:rsid w:val="00272980"/>
    <w:rsid w:val="0027446E"/>
    <w:rsid w:val="00274498"/>
    <w:rsid w:val="002745F4"/>
    <w:rsid w:val="00275571"/>
    <w:rsid w:val="00276208"/>
    <w:rsid w:val="00280382"/>
    <w:rsid w:val="002807A8"/>
    <w:rsid w:val="00285E63"/>
    <w:rsid w:val="00286AAC"/>
    <w:rsid w:val="00290D1B"/>
    <w:rsid w:val="00294198"/>
    <w:rsid w:val="002948E4"/>
    <w:rsid w:val="002A0BA9"/>
    <w:rsid w:val="002A3BB9"/>
    <w:rsid w:val="002A6D72"/>
    <w:rsid w:val="002B1BBC"/>
    <w:rsid w:val="002B3C66"/>
    <w:rsid w:val="002B4C12"/>
    <w:rsid w:val="002C01B1"/>
    <w:rsid w:val="002C0216"/>
    <w:rsid w:val="002C344E"/>
    <w:rsid w:val="002C4A1D"/>
    <w:rsid w:val="002C5B0E"/>
    <w:rsid w:val="002D072B"/>
    <w:rsid w:val="002D2165"/>
    <w:rsid w:val="002D790A"/>
    <w:rsid w:val="002E75E9"/>
    <w:rsid w:val="002E7ADE"/>
    <w:rsid w:val="002F0B1E"/>
    <w:rsid w:val="0030160C"/>
    <w:rsid w:val="00302EE4"/>
    <w:rsid w:val="003049B1"/>
    <w:rsid w:val="0030779D"/>
    <w:rsid w:val="00307A6A"/>
    <w:rsid w:val="00307C40"/>
    <w:rsid w:val="00310F25"/>
    <w:rsid w:val="00311B5F"/>
    <w:rsid w:val="0031698C"/>
    <w:rsid w:val="00320433"/>
    <w:rsid w:val="003230C7"/>
    <w:rsid w:val="00323B63"/>
    <w:rsid w:val="00327E50"/>
    <w:rsid w:val="00331CDA"/>
    <w:rsid w:val="00334B1A"/>
    <w:rsid w:val="00335637"/>
    <w:rsid w:val="0033597A"/>
    <w:rsid w:val="00335A4A"/>
    <w:rsid w:val="00343D89"/>
    <w:rsid w:val="0034430B"/>
    <w:rsid w:val="00347887"/>
    <w:rsid w:val="00352FC2"/>
    <w:rsid w:val="00353DA7"/>
    <w:rsid w:val="00354133"/>
    <w:rsid w:val="00355341"/>
    <w:rsid w:val="00355F36"/>
    <w:rsid w:val="00361D85"/>
    <w:rsid w:val="00362612"/>
    <w:rsid w:val="00362905"/>
    <w:rsid w:val="00363156"/>
    <w:rsid w:val="0036743F"/>
    <w:rsid w:val="0036776C"/>
    <w:rsid w:val="003715DD"/>
    <w:rsid w:val="0037759C"/>
    <w:rsid w:val="003823E0"/>
    <w:rsid w:val="0039394D"/>
    <w:rsid w:val="00396AB3"/>
    <w:rsid w:val="0039769B"/>
    <w:rsid w:val="003A0DF0"/>
    <w:rsid w:val="003A173E"/>
    <w:rsid w:val="003A29C4"/>
    <w:rsid w:val="003A4521"/>
    <w:rsid w:val="003A4A8E"/>
    <w:rsid w:val="003A4E75"/>
    <w:rsid w:val="003A721D"/>
    <w:rsid w:val="003B34A7"/>
    <w:rsid w:val="003B5782"/>
    <w:rsid w:val="003B6FE7"/>
    <w:rsid w:val="003C4A07"/>
    <w:rsid w:val="003C5721"/>
    <w:rsid w:val="003C769E"/>
    <w:rsid w:val="003D1C8C"/>
    <w:rsid w:val="003D2B67"/>
    <w:rsid w:val="003D5FC4"/>
    <w:rsid w:val="003D6DEF"/>
    <w:rsid w:val="003E04A6"/>
    <w:rsid w:val="003E38C7"/>
    <w:rsid w:val="0040096C"/>
    <w:rsid w:val="00400EF3"/>
    <w:rsid w:val="00403A3E"/>
    <w:rsid w:val="00414F1F"/>
    <w:rsid w:val="00415D84"/>
    <w:rsid w:val="00415E8C"/>
    <w:rsid w:val="00420819"/>
    <w:rsid w:val="00420A71"/>
    <w:rsid w:val="00423A27"/>
    <w:rsid w:val="004247EC"/>
    <w:rsid w:val="00424F9F"/>
    <w:rsid w:val="00425944"/>
    <w:rsid w:val="0043125D"/>
    <w:rsid w:val="0043502B"/>
    <w:rsid w:val="0044122A"/>
    <w:rsid w:val="00441B96"/>
    <w:rsid w:val="004443AC"/>
    <w:rsid w:val="00444B02"/>
    <w:rsid w:val="00446FBB"/>
    <w:rsid w:val="00450E08"/>
    <w:rsid w:val="00451E28"/>
    <w:rsid w:val="004526BA"/>
    <w:rsid w:val="00460B44"/>
    <w:rsid w:val="00460FA3"/>
    <w:rsid w:val="00462C62"/>
    <w:rsid w:val="00464091"/>
    <w:rsid w:val="00464D8D"/>
    <w:rsid w:val="004657C1"/>
    <w:rsid w:val="00465D36"/>
    <w:rsid w:val="00466956"/>
    <w:rsid w:val="004772F6"/>
    <w:rsid w:val="004812BA"/>
    <w:rsid w:val="00483B36"/>
    <w:rsid w:val="00484F94"/>
    <w:rsid w:val="00492C21"/>
    <w:rsid w:val="00497EB3"/>
    <w:rsid w:val="004A0B70"/>
    <w:rsid w:val="004A1FF4"/>
    <w:rsid w:val="004A2FA4"/>
    <w:rsid w:val="004A3924"/>
    <w:rsid w:val="004B37EF"/>
    <w:rsid w:val="004B3DF1"/>
    <w:rsid w:val="004C17EE"/>
    <w:rsid w:val="004C3566"/>
    <w:rsid w:val="004C4BDF"/>
    <w:rsid w:val="004C57D1"/>
    <w:rsid w:val="004C7316"/>
    <w:rsid w:val="004C7D07"/>
    <w:rsid w:val="004D06B1"/>
    <w:rsid w:val="004D1187"/>
    <w:rsid w:val="004D3AA0"/>
    <w:rsid w:val="004D4028"/>
    <w:rsid w:val="004D59B2"/>
    <w:rsid w:val="004E00E0"/>
    <w:rsid w:val="004E08DE"/>
    <w:rsid w:val="004E1987"/>
    <w:rsid w:val="004E287E"/>
    <w:rsid w:val="004E2E15"/>
    <w:rsid w:val="004E6E3C"/>
    <w:rsid w:val="004F7804"/>
    <w:rsid w:val="005072D9"/>
    <w:rsid w:val="0051399A"/>
    <w:rsid w:val="00515FCD"/>
    <w:rsid w:val="00520898"/>
    <w:rsid w:val="0052119E"/>
    <w:rsid w:val="00522DC2"/>
    <w:rsid w:val="00523621"/>
    <w:rsid w:val="00524986"/>
    <w:rsid w:val="005268F6"/>
    <w:rsid w:val="00530B57"/>
    <w:rsid w:val="00534284"/>
    <w:rsid w:val="005400BA"/>
    <w:rsid w:val="00541CB9"/>
    <w:rsid w:val="00541CD9"/>
    <w:rsid w:val="005449FC"/>
    <w:rsid w:val="0054572E"/>
    <w:rsid w:val="00547DB7"/>
    <w:rsid w:val="0055016C"/>
    <w:rsid w:val="0055289E"/>
    <w:rsid w:val="005567F5"/>
    <w:rsid w:val="00557D7B"/>
    <w:rsid w:val="00562BC6"/>
    <w:rsid w:val="00570649"/>
    <w:rsid w:val="005854AE"/>
    <w:rsid w:val="005A2B4C"/>
    <w:rsid w:val="005B0B24"/>
    <w:rsid w:val="005B36CD"/>
    <w:rsid w:val="005B4685"/>
    <w:rsid w:val="005B4B27"/>
    <w:rsid w:val="005C5D9A"/>
    <w:rsid w:val="005C5E9E"/>
    <w:rsid w:val="005C68D2"/>
    <w:rsid w:val="005C6C9A"/>
    <w:rsid w:val="005D39D3"/>
    <w:rsid w:val="005D5FA7"/>
    <w:rsid w:val="005D6B85"/>
    <w:rsid w:val="005E12C3"/>
    <w:rsid w:val="005E2D5F"/>
    <w:rsid w:val="005E6502"/>
    <w:rsid w:val="005E7123"/>
    <w:rsid w:val="005F3F69"/>
    <w:rsid w:val="005F4D4F"/>
    <w:rsid w:val="005F4F09"/>
    <w:rsid w:val="005F5E8E"/>
    <w:rsid w:val="0060130F"/>
    <w:rsid w:val="0060251F"/>
    <w:rsid w:val="00602D7E"/>
    <w:rsid w:val="006046C1"/>
    <w:rsid w:val="00613176"/>
    <w:rsid w:val="0061431B"/>
    <w:rsid w:val="00614AF3"/>
    <w:rsid w:val="00622BAA"/>
    <w:rsid w:val="00624C15"/>
    <w:rsid w:val="00627972"/>
    <w:rsid w:val="00630366"/>
    <w:rsid w:val="006306CF"/>
    <w:rsid w:val="0063299F"/>
    <w:rsid w:val="00632E2C"/>
    <w:rsid w:val="00634660"/>
    <w:rsid w:val="00644E9A"/>
    <w:rsid w:val="006524B2"/>
    <w:rsid w:val="00652D13"/>
    <w:rsid w:val="00656086"/>
    <w:rsid w:val="006577D7"/>
    <w:rsid w:val="006644B1"/>
    <w:rsid w:val="006655D1"/>
    <w:rsid w:val="00667740"/>
    <w:rsid w:val="0067174C"/>
    <w:rsid w:val="00671BD5"/>
    <w:rsid w:val="00671FAD"/>
    <w:rsid w:val="00676E47"/>
    <w:rsid w:val="00680549"/>
    <w:rsid w:val="006805C1"/>
    <w:rsid w:val="0068125C"/>
    <w:rsid w:val="006868C8"/>
    <w:rsid w:val="00686C21"/>
    <w:rsid w:val="0068795C"/>
    <w:rsid w:val="00690CAD"/>
    <w:rsid w:val="006931C1"/>
    <w:rsid w:val="00694556"/>
    <w:rsid w:val="006A590F"/>
    <w:rsid w:val="006B0DC9"/>
    <w:rsid w:val="006B361A"/>
    <w:rsid w:val="006B4588"/>
    <w:rsid w:val="006B4D5C"/>
    <w:rsid w:val="006C30C5"/>
    <w:rsid w:val="006D3B31"/>
    <w:rsid w:val="006D66C8"/>
    <w:rsid w:val="006E0D96"/>
    <w:rsid w:val="006E1A53"/>
    <w:rsid w:val="006E4CC3"/>
    <w:rsid w:val="006E5DCD"/>
    <w:rsid w:val="006F241A"/>
    <w:rsid w:val="006F56E6"/>
    <w:rsid w:val="006F572A"/>
    <w:rsid w:val="006F6782"/>
    <w:rsid w:val="00701810"/>
    <w:rsid w:val="007036FD"/>
    <w:rsid w:val="00704EDA"/>
    <w:rsid w:val="00711A90"/>
    <w:rsid w:val="0071275C"/>
    <w:rsid w:val="00712EA0"/>
    <w:rsid w:val="007154BA"/>
    <w:rsid w:val="00721122"/>
    <w:rsid w:val="007243AA"/>
    <w:rsid w:val="00727A57"/>
    <w:rsid w:val="00732C68"/>
    <w:rsid w:val="00733C41"/>
    <w:rsid w:val="00734689"/>
    <w:rsid w:val="0074259B"/>
    <w:rsid w:val="00744449"/>
    <w:rsid w:val="007470C9"/>
    <w:rsid w:val="00753019"/>
    <w:rsid w:val="0075338F"/>
    <w:rsid w:val="00754801"/>
    <w:rsid w:val="00757F94"/>
    <w:rsid w:val="00760529"/>
    <w:rsid w:val="00760FE8"/>
    <w:rsid w:val="00761441"/>
    <w:rsid w:val="00762367"/>
    <w:rsid w:val="00767094"/>
    <w:rsid w:val="007674AD"/>
    <w:rsid w:val="00770A9F"/>
    <w:rsid w:val="00774C09"/>
    <w:rsid w:val="00786B8B"/>
    <w:rsid w:val="00786C6D"/>
    <w:rsid w:val="00787605"/>
    <w:rsid w:val="00791B4D"/>
    <w:rsid w:val="00791BDB"/>
    <w:rsid w:val="00792E83"/>
    <w:rsid w:val="00795365"/>
    <w:rsid w:val="00796D58"/>
    <w:rsid w:val="00796DDB"/>
    <w:rsid w:val="007A2A4E"/>
    <w:rsid w:val="007A351D"/>
    <w:rsid w:val="007B447B"/>
    <w:rsid w:val="007B45DB"/>
    <w:rsid w:val="007B4C42"/>
    <w:rsid w:val="007B58D3"/>
    <w:rsid w:val="007B6169"/>
    <w:rsid w:val="007B684E"/>
    <w:rsid w:val="007B7765"/>
    <w:rsid w:val="007C5BDD"/>
    <w:rsid w:val="007C7494"/>
    <w:rsid w:val="007D1827"/>
    <w:rsid w:val="007D216E"/>
    <w:rsid w:val="007D4104"/>
    <w:rsid w:val="007D45E3"/>
    <w:rsid w:val="007D4E33"/>
    <w:rsid w:val="007E07DE"/>
    <w:rsid w:val="007E3247"/>
    <w:rsid w:val="007E3824"/>
    <w:rsid w:val="007E3AF6"/>
    <w:rsid w:val="007E6115"/>
    <w:rsid w:val="007F03CB"/>
    <w:rsid w:val="007F3303"/>
    <w:rsid w:val="007F3519"/>
    <w:rsid w:val="007F3B55"/>
    <w:rsid w:val="007F4609"/>
    <w:rsid w:val="007F6168"/>
    <w:rsid w:val="00801555"/>
    <w:rsid w:val="008016F8"/>
    <w:rsid w:val="00804281"/>
    <w:rsid w:val="00804DF0"/>
    <w:rsid w:val="00814468"/>
    <w:rsid w:val="00816755"/>
    <w:rsid w:val="00816AB4"/>
    <w:rsid w:val="008171C6"/>
    <w:rsid w:val="0081736A"/>
    <w:rsid w:val="008176A1"/>
    <w:rsid w:val="00820005"/>
    <w:rsid w:val="00821D80"/>
    <w:rsid w:val="008327C7"/>
    <w:rsid w:val="00835BAC"/>
    <w:rsid w:val="0083749E"/>
    <w:rsid w:val="00837DB1"/>
    <w:rsid w:val="00840C6C"/>
    <w:rsid w:val="00840F90"/>
    <w:rsid w:val="00841B97"/>
    <w:rsid w:val="00841C37"/>
    <w:rsid w:val="00843EE9"/>
    <w:rsid w:val="008441C3"/>
    <w:rsid w:val="00844318"/>
    <w:rsid w:val="0084570E"/>
    <w:rsid w:val="00846B25"/>
    <w:rsid w:val="00854AD3"/>
    <w:rsid w:val="008555D6"/>
    <w:rsid w:val="008561CB"/>
    <w:rsid w:val="008573F1"/>
    <w:rsid w:val="008574BE"/>
    <w:rsid w:val="00857793"/>
    <w:rsid w:val="00863765"/>
    <w:rsid w:val="00863A2F"/>
    <w:rsid w:val="00863F5D"/>
    <w:rsid w:val="00865DF3"/>
    <w:rsid w:val="00870890"/>
    <w:rsid w:val="00871A73"/>
    <w:rsid w:val="0087313A"/>
    <w:rsid w:val="00873602"/>
    <w:rsid w:val="00875D12"/>
    <w:rsid w:val="00877A67"/>
    <w:rsid w:val="00877CDA"/>
    <w:rsid w:val="0088479D"/>
    <w:rsid w:val="008908E1"/>
    <w:rsid w:val="00891F42"/>
    <w:rsid w:val="008933A5"/>
    <w:rsid w:val="00894400"/>
    <w:rsid w:val="00896889"/>
    <w:rsid w:val="008A146E"/>
    <w:rsid w:val="008A5C3B"/>
    <w:rsid w:val="008A6E97"/>
    <w:rsid w:val="008A7A69"/>
    <w:rsid w:val="008A7F54"/>
    <w:rsid w:val="008B09A1"/>
    <w:rsid w:val="008B4D71"/>
    <w:rsid w:val="008B5B1A"/>
    <w:rsid w:val="008C44BB"/>
    <w:rsid w:val="008C5714"/>
    <w:rsid w:val="008D10B2"/>
    <w:rsid w:val="008D4B1D"/>
    <w:rsid w:val="008E0409"/>
    <w:rsid w:val="008E1599"/>
    <w:rsid w:val="008E2CF5"/>
    <w:rsid w:val="008F190D"/>
    <w:rsid w:val="008F40C4"/>
    <w:rsid w:val="00903896"/>
    <w:rsid w:val="00903912"/>
    <w:rsid w:val="00906F3D"/>
    <w:rsid w:val="0091188E"/>
    <w:rsid w:val="00911B67"/>
    <w:rsid w:val="00911E77"/>
    <w:rsid w:val="00914B4C"/>
    <w:rsid w:val="00920208"/>
    <w:rsid w:val="0092407A"/>
    <w:rsid w:val="00926F55"/>
    <w:rsid w:val="0092725E"/>
    <w:rsid w:val="00927551"/>
    <w:rsid w:val="00927AE3"/>
    <w:rsid w:val="0093396B"/>
    <w:rsid w:val="00934A18"/>
    <w:rsid w:val="009360E6"/>
    <w:rsid w:val="0094230E"/>
    <w:rsid w:val="00943B93"/>
    <w:rsid w:val="0094424E"/>
    <w:rsid w:val="00944359"/>
    <w:rsid w:val="00945C6E"/>
    <w:rsid w:val="00947177"/>
    <w:rsid w:val="009504CD"/>
    <w:rsid w:val="009526DD"/>
    <w:rsid w:val="00955642"/>
    <w:rsid w:val="00955A50"/>
    <w:rsid w:val="00957078"/>
    <w:rsid w:val="009571DB"/>
    <w:rsid w:val="00960E8B"/>
    <w:rsid w:val="009622DF"/>
    <w:rsid w:val="00962770"/>
    <w:rsid w:val="00963CF3"/>
    <w:rsid w:val="0096481D"/>
    <w:rsid w:val="0096493F"/>
    <w:rsid w:val="00965D9A"/>
    <w:rsid w:val="009674A2"/>
    <w:rsid w:val="00967DFF"/>
    <w:rsid w:val="009719CC"/>
    <w:rsid w:val="009752F8"/>
    <w:rsid w:val="0097562C"/>
    <w:rsid w:val="00975C4D"/>
    <w:rsid w:val="009819F8"/>
    <w:rsid w:val="00991F17"/>
    <w:rsid w:val="00993B25"/>
    <w:rsid w:val="00994341"/>
    <w:rsid w:val="00994D97"/>
    <w:rsid w:val="009975C4"/>
    <w:rsid w:val="009A31CF"/>
    <w:rsid w:val="009A5D2C"/>
    <w:rsid w:val="009A6348"/>
    <w:rsid w:val="009A7255"/>
    <w:rsid w:val="009B0426"/>
    <w:rsid w:val="009B1625"/>
    <w:rsid w:val="009B2107"/>
    <w:rsid w:val="009B2210"/>
    <w:rsid w:val="009B327D"/>
    <w:rsid w:val="009B3CF6"/>
    <w:rsid w:val="009B48E8"/>
    <w:rsid w:val="009B6701"/>
    <w:rsid w:val="009B7706"/>
    <w:rsid w:val="009C4F7C"/>
    <w:rsid w:val="009C7025"/>
    <w:rsid w:val="009D1A48"/>
    <w:rsid w:val="009D39F4"/>
    <w:rsid w:val="009D5BC3"/>
    <w:rsid w:val="009D7EE5"/>
    <w:rsid w:val="009E1CE7"/>
    <w:rsid w:val="009E3792"/>
    <w:rsid w:val="009E4EA5"/>
    <w:rsid w:val="009F164B"/>
    <w:rsid w:val="009F2195"/>
    <w:rsid w:val="009F2912"/>
    <w:rsid w:val="009F3164"/>
    <w:rsid w:val="009F323C"/>
    <w:rsid w:val="009F6FD1"/>
    <w:rsid w:val="00A0206B"/>
    <w:rsid w:val="00A02FA6"/>
    <w:rsid w:val="00A03150"/>
    <w:rsid w:val="00A04447"/>
    <w:rsid w:val="00A051DC"/>
    <w:rsid w:val="00A11F74"/>
    <w:rsid w:val="00A21F96"/>
    <w:rsid w:val="00A24C04"/>
    <w:rsid w:val="00A25315"/>
    <w:rsid w:val="00A307F6"/>
    <w:rsid w:val="00A31107"/>
    <w:rsid w:val="00A3392B"/>
    <w:rsid w:val="00A34160"/>
    <w:rsid w:val="00A34BC9"/>
    <w:rsid w:val="00A37926"/>
    <w:rsid w:val="00A42F15"/>
    <w:rsid w:val="00A43CCD"/>
    <w:rsid w:val="00A44F1D"/>
    <w:rsid w:val="00A456E4"/>
    <w:rsid w:val="00A56871"/>
    <w:rsid w:val="00A61899"/>
    <w:rsid w:val="00A63CF2"/>
    <w:rsid w:val="00A64116"/>
    <w:rsid w:val="00A64975"/>
    <w:rsid w:val="00A67433"/>
    <w:rsid w:val="00A7013A"/>
    <w:rsid w:val="00A73935"/>
    <w:rsid w:val="00A766F7"/>
    <w:rsid w:val="00A77B69"/>
    <w:rsid w:val="00A830B2"/>
    <w:rsid w:val="00A83421"/>
    <w:rsid w:val="00A859C4"/>
    <w:rsid w:val="00A85BF2"/>
    <w:rsid w:val="00A85E34"/>
    <w:rsid w:val="00A91032"/>
    <w:rsid w:val="00A9144F"/>
    <w:rsid w:val="00A944A9"/>
    <w:rsid w:val="00A94B64"/>
    <w:rsid w:val="00A968DA"/>
    <w:rsid w:val="00AA01FE"/>
    <w:rsid w:val="00AA2177"/>
    <w:rsid w:val="00AA3229"/>
    <w:rsid w:val="00AA7596"/>
    <w:rsid w:val="00AB42D9"/>
    <w:rsid w:val="00AB4792"/>
    <w:rsid w:val="00AB511C"/>
    <w:rsid w:val="00AB5E52"/>
    <w:rsid w:val="00AB6165"/>
    <w:rsid w:val="00AC3B02"/>
    <w:rsid w:val="00AC3B7B"/>
    <w:rsid w:val="00AC5209"/>
    <w:rsid w:val="00AD1C5E"/>
    <w:rsid w:val="00AD3323"/>
    <w:rsid w:val="00AD4ADD"/>
    <w:rsid w:val="00AE0E34"/>
    <w:rsid w:val="00AE2DBB"/>
    <w:rsid w:val="00AE675F"/>
    <w:rsid w:val="00AE729E"/>
    <w:rsid w:val="00AE7752"/>
    <w:rsid w:val="00AF7FDA"/>
    <w:rsid w:val="00B009DF"/>
    <w:rsid w:val="00B00A3D"/>
    <w:rsid w:val="00B032EF"/>
    <w:rsid w:val="00B0352F"/>
    <w:rsid w:val="00B04F82"/>
    <w:rsid w:val="00B051C7"/>
    <w:rsid w:val="00B11F7C"/>
    <w:rsid w:val="00B12A63"/>
    <w:rsid w:val="00B1484D"/>
    <w:rsid w:val="00B218A5"/>
    <w:rsid w:val="00B2574A"/>
    <w:rsid w:val="00B26B1C"/>
    <w:rsid w:val="00B30DF9"/>
    <w:rsid w:val="00B31B36"/>
    <w:rsid w:val="00B36B7C"/>
    <w:rsid w:val="00B37535"/>
    <w:rsid w:val="00B40B7D"/>
    <w:rsid w:val="00B44DC1"/>
    <w:rsid w:val="00B501FD"/>
    <w:rsid w:val="00B502D9"/>
    <w:rsid w:val="00B507E0"/>
    <w:rsid w:val="00B50917"/>
    <w:rsid w:val="00B5356E"/>
    <w:rsid w:val="00B563B2"/>
    <w:rsid w:val="00B63285"/>
    <w:rsid w:val="00B63664"/>
    <w:rsid w:val="00B63B40"/>
    <w:rsid w:val="00B7045A"/>
    <w:rsid w:val="00B72687"/>
    <w:rsid w:val="00B7439D"/>
    <w:rsid w:val="00B77925"/>
    <w:rsid w:val="00B809AD"/>
    <w:rsid w:val="00B80CBD"/>
    <w:rsid w:val="00B813E6"/>
    <w:rsid w:val="00B82ED5"/>
    <w:rsid w:val="00B8452A"/>
    <w:rsid w:val="00B85A70"/>
    <w:rsid w:val="00B86096"/>
    <w:rsid w:val="00B86261"/>
    <w:rsid w:val="00B87AE3"/>
    <w:rsid w:val="00B92ECE"/>
    <w:rsid w:val="00B94B4B"/>
    <w:rsid w:val="00B964D9"/>
    <w:rsid w:val="00B964FA"/>
    <w:rsid w:val="00B968A6"/>
    <w:rsid w:val="00BA0A7C"/>
    <w:rsid w:val="00BA1DB6"/>
    <w:rsid w:val="00BA517C"/>
    <w:rsid w:val="00BA5EF2"/>
    <w:rsid w:val="00BA6E29"/>
    <w:rsid w:val="00BA7FB6"/>
    <w:rsid w:val="00BB3030"/>
    <w:rsid w:val="00BB3AFE"/>
    <w:rsid w:val="00BB3D05"/>
    <w:rsid w:val="00BB4AF1"/>
    <w:rsid w:val="00BB5080"/>
    <w:rsid w:val="00BB550C"/>
    <w:rsid w:val="00BB73BE"/>
    <w:rsid w:val="00BC0EDE"/>
    <w:rsid w:val="00BC28CF"/>
    <w:rsid w:val="00BC2D89"/>
    <w:rsid w:val="00BC5207"/>
    <w:rsid w:val="00BC53D5"/>
    <w:rsid w:val="00BD34D6"/>
    <w:rsid w:val="00BD4244"/>
    <w:rsid w:val="00BD5D0E"/>
    <w:rsid w:val="00BD6531"/>
    <w:rsid w:val="00BD6C28"/>
    <w:rsid w:val="00BD6FBE"/>
    <w:rsid w:val="00BD7A0E"/>
    <w:rsid w:val="00BE0152"/>
    <w:rsid w:val="00BE05B2"/>
    <w:rsid w:val="00BE09A6"/>
    <w:rsid w:val="00BE142A"/>
    <w:rsid w:val="00BE2E7C"/>
    <w:rsid w:val="00BE5E8F"/>
    <w:rsid w:val="00BF106B"/>
    <w:rsid w:val="00BF1908"/>
    <w:rsid w:val="00C01D90"/>
    <w:rsid w:val="00C04C98"/>
    <w:rsid w:val="00C06BE3"/>
    <w:rsid w:val="00C13BD7"/>
    <w:rsid w:val="00C14A2D"/>
    <w:rsid w:val="00C210A6"/>
    <w:rsid w:val="00C212D6"/>
    <w:rsid w:val="00C22D93"/>
    <w:rsid w:val="00C23458"/>
    <w:rsid w:val="00C25905"/>
    <w:rsid w:val="00C268AF"/>
    <w:rsid w:val="00C31120"/>
    <w:rsid w:val="00C319AF"/>
    <w:rsid w:val="00C34482"/>
    <w:rsid w:val="00C41EA9"/>
    <w:rsid w:val="00C43648"/>
    <w:rsid w:val="00C4476F"/>
    <w:rsid w:val="00C44815"/>
    <w:rsid w:val="00C45339"/>
    <w:rsid w:val="00C477F2"/>
    <w:rsid w:val="00C5087C"/>
    <w:rsid w:val="00C50A9F"/>
    <w:rsid w:val="00C5146B"/>
    <w:rsid w:val="00C52977"/>
    <w:rsid w:val="00C52A14"/>
    <w:rsid w:val="00C53933"/>
    <w:rsid w:val="00C56C85"/>
    <w:rsid w:val="00C612C0"/>
    <w:rsid w:val="00C642FA"/>
    <w:rsid w:val="00C65E4F"/>
    <w:rsid w:val="00C66865"/>
    <w:rsid w:val="00C712E6"/>
    <w:rsid w:val="00C71754"/>
    <w:rsid w:val="00C719AE"/>
    <w:rsid w:val="00C82550"/>
    <w:rsid w:val="00C84FB0"/>
    <w:rsid w:val="00CA33BC"/>
    <w:rsid w:val="00CA4DCF"/>
    <w:rsid w:val="00CA5F54"/>
    <w:rsid w:val="00CA68B7"/>
    <w:rsid w:val="00CB12C0"/>
    <w:rsid w:val="00CB5426"/>
    <w:rsid w:val="00CB5466"/>
    <w:rsid w:val="00CB609C"/>
    <w:rsid w:val="00CB787B"/>
    <w:rsid w:val="00CB7B50"/>
    <w:rsid w:val="00CB7E5B"/>
    <w:rsid w:val="00CC0422"/>
    <w:rsid w:val="00CC54CF"/>
    <w:rsid w:val="00CC553A"/>
    <w:rsid w:val="00CC5DC2"/>
    <w:rsid w:val="00CC7622"/>
    <w:rsid w:val="00CD429E"/>
    <w:rsid w:val="00CD4FFA"/>
    <w:rsid w:val="00CD608F"/>
    <w:rsid w:val="00CD692E"/>
    <w:rsid w:val="00CE2144"/>
    <w:rsid w:val="00CE490E"/>
    <w:rsid w:val="00CE5F33"/>
    <w:rsid w:val="00CE5FC0"/>
    <w:rsid w:val="00CF6BB7"/>
    <w:rsid w:val="00D04AA4"/>
    <w:rsid w:val="00D16D17"/>
    <w:rsid w:val="00D20637"/>
    <w:rsid w:val="00D21E37"/>
    <w:rsid w:val="00D25046"/>
    <w:rsid w:val="00D27115"/>
    <w:rsid w:val="00D27982"/>
    <w:rsid w:val="00D30C51"/>
    <w:rsid w:val="00D327A2"/>
    <w:rsid w:val="00D33B86"/>
    <w:rsid w:val="00D343C0"/>
    <w:rsid w:val="00D40F8F"/>
    <w:rsid w:val="00D42FB4"/>
    <w:rsid w:val="00D43629"/>
    <w:rsid w:val="00D44968"/>
    <w:rsid w:val="00D44B8C"/>
    <w:rsid w:val="00D44E40"/>
    <w:rsid w:val="00D5085B"/>
    <w:rsid w:val="00D5202E"/>
    <w:rsid w:val="00D53924"/>
    <w:rsid w:val="00D54D3B"/>
    <w:rsid w:val="00D55D0C"/>
    <w:rsid w:val="00D57F84"/>
    <w:rsid w:val="00D65AB2"/>
    <w:rsid w:val="00D660C7"/>
    <w:rsid w:val="00D674AF"/>
    <w:rsid w:val="00D67D8E"/>
    <w:rsid w:val="00D744AC"/>
    <w:rsid w:val="00D74B30"/>
    <w:rsid w:val="00D757C7"/>
    <w:rsid w:val="00D76343"/>
    <w:rsid w:val="00D81E5B"/>
    <w:rsid w:val="00D8306B"/>
    <w:rsid w:val="00D92BD1"/>
    <w:rsid w:val="00D95291"/>
    <w:rsid w:val="00D955EC"/>
    <w:rsid w:val="00D96D8C"/>
    <w:rsid w:val="00D97489"/>
    <w:rsid w:val="00DA1F6F"/>
    <w:rsid w:val="00DA2E7F"/>
    <w:rsid w:val="00DA3D6F"/>
    <w:rsid w:val="00DA6649"/>
    <w:rsid w:val="00DA70E3"/>
    <w:rsid w:val="00DA7647"/>
    <w:rsid w:val="00DB10AC"/>
    <w:rsid w:val="00DB682D"/>
    <w:rsid w:val="00DC0DBB"/>
    <w:rsid w:val="00DC1259"/>
    <w:rsid w:val="00DC1BD2"/>
    <w:rsid w:val="00DC2571"/>
    <w:rsid w:val="00DC487C"/>
    <w:rsid w:val="00DC57A7"/>
    <w:rsid w:val="00DD17AB"/>
    <w:rsid w:val="00DD4335"/>
    <w:rsid w:val="00DE0070"/>
    <w:rsid w:val="00DE1E7D"/>
    <w:rsid w:val="00DE5989"/>
    <w:rsid w:val="00DE6BF6"/>
    <w:rsid w:val="00DF3F41"/>
    <w:rsid w:val="00E00709"/>
    <w:rsid w:val="00E06186"/>
    <w:rsid w:val="00E1068A"/>
    <w:rsid w:val="00E12177"/>
    <w:rsid w:val="00E13BB0"/>
    <w:rsid w:val="00E20667"/>
    <w:rsid w:val="00E21AAD"/>
    <w:rsid w:val="00E22138"/>
    <w:rsid w:val="00E256CD"/>
    <w:rsid w:val="00E25884"/>
    <w:rsid w:val="00E25B55"/>
    <w:rsid w:val="00E26C2B"/>
    <w:rsid w:val="00E27DE2"/>
    <w:rsid w:val="00E31C2B"/>
    <w:rsid w:val="00E40040"/>
    <w:rsid w:val="00E40602"/>
    <w:rsid w:val="00E50DFB"/>
    <w:rsid w:val="00E53E18"/>
    <w:rsid w:val="00E5426A"/>
    <w:rsid w:val="00E54642"/>
    <w:rsid w:val="00E54BB0"/>
    <w:rsid w:val="00E568A0"/>
    <w:rsid w:val="00E56DCD"/>
    <w:rsid w:val="00E601A8"/>
    <w:rsid w:val="00E61B8C"/>
    <w:rsid w:val="00E64889"/>
    <w:rsid w:val="00E707A4"/>
    <w:rsid w:val="00E719E6"/>
    <w:rsid w:val="00E773E2"/>
    <w:rsid w:val="00E77D4B"/>
    <w:rsid w:val="00E77D5A"/>
    <w:rsid w:val="00E80CBE"/>
    <w:rsid w:val="00E83042"/>
    <w:rsid w:val="00E9269D"/>
    <w:rsid w:val="00E93CDA"/>
    <w:rsid w:val="00E962E3"/>
    <w:rsid w:val="00EA2196"/>
    <w:rsid w:val="00EA4D0A"/>
    <w:rsid w:val="00EA7101"/>
    <w:rsid w:val="00EB46C6"/>
    <w:rsid w:val="00EB4F57"/>
    <w:rsid w:val="00EB6245"/>
    <w:rsid w:val="00EB6C79"/>
    <w:rsid w:val="00EC04A2"/>
    <w:rsid w:val="00EC2001"/>
    <w:rsid w:val="00EC2E1F"/>
    <w:rsid w:val="00EC37E9"/>
    <w:rsid w:val="00EC3A24"/>
    <w:rsid w:val="00EC590C"/>
    <w:rsid w:val="00EC7A46"/>
    <w:rsid w:val="00ED169A"/>
    <w:rsid w:val="00ED30DE"/>
    <w:rsid w:val="00ED3549"/>
    <w:rsid w:val="00EE1EBA"/>
    <w:rsid w:val="00EE793B"/>
    <w:rsid w:val="00EF38DF"/>
    <w:rsid w:val="00EF50F5"/>
    <w:rsid w:val="00EF60CA"/>
    <w:rsid w:val="00F0128F"/>
    <w:rsid w:val="00F038D8"/>
    <w:rsid w:val="00F06995"/>
    <w:rsid w:val="00F11CFB"/>
    <w:rsid w:val="00F12771"/>
    <w:rsid w:val="00F12D66"/>
    <w:rsid w:val="00F13623"/>
    <w:rsid w:val="00F1679C"/>
    <w:rsid w:val="00F21BDD"/>
    <w:rsid w:val="00F25DDC"/>
    <w:rsid w:val="00F26235"/>
    <w:rsid w:val="00F312ED"/>
    <w:rsid w:val="00F3365C"/>
    <w:rsid w:val="00F34AA1"/>
    <w:rsid w:val="00F3632D"/>
    <w:rsid w:val="00F3633F"/>
    <w:rsid w:val="00F435F4"/>
    <w:rsid w:val="00F44D1D"/>
    <w:rsid w:val="00F4580F"/>
    <w:rsid w:val="00F51EF2"/>
    <w:rsid w:val="00F621F7"/>
    <w:rsid w:val="00F627E7"/>
    <w:rsid w:val="00F62E25"/>
    <w:rsid w:val="00F649BB"/>
    <w:rsid w:val="00F6675E"/>
    <w:rsid w:val="00F678D8"/>
    <w:rsid w:val="00F67AFB"/>
    <w:rsid w:val="00F72776"/>
    <w:rsid w:val="00F72900"/>
    <w:rsid w:val="00F80187"/>
    <w:rsid w:val="00F802DD"/>
    <w:rsid w:val="00F80A79"/>
    <w:rsid w:val="00F8270D"/>
    <w:rsid w:val="00F84B19"/>
    <w:rsid w:val="00F84B6D"/>
    <w:rsid w:val="00F863D7"/>
    <w:rsid w:val="00F918B6"/>
    <w:rsid w:val="00F957E8"/>
    <w:rsid w:val="00F95D49"/>
    <w:rsid w:val="00F95F88"/>
    <w:rsid w:val="00F973D4"/>
    <w:rsid w:val="00FA311A"/>
    <w:rsid w:val="00FA5FDA"/>
    <w:rsid w:val="00FA60B1"/>
    <w:rsid w:val="00FA636B"/>
    <w:rsid w:val="00FB53A2"/>
    <w:rsid w:val="00FB6AB3"/>
    <w:rsid w:val="00FC1636"/>
    <w:rsid w:val="00FC2FB7"/>
    <w:rsid w:val="00FC7616"/>
    <w:rsid w:val="00FD1419"/>
    <w:rsid w:val="00FD1536"/>
    <w:rsid w:val="00FD61D8"/>
    <w:rsid w:val="00FD75D0"/>
    <w:rsid w:val="00FD75E8"/>
    <w:rsid w:val="00FD79E4"/>
    <w:rsid w:val="00FE2894"/>
    <w:rsid w:val="00FE29C6"/>
    <w:rsid w:val="00FE2AB9"/>
    <w:rsid w:val="00FE3BD1"/>
    <w:rsid w:val="00FE5C78"/>
    <w:rsid w:val="00FF59C2"/>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C12"/>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30C7"/>
    <w:rPr>
      <w:color w:val="808080"/>
    </w:rPr>
  </w:style>
  <w:style w:type="paragraph" w:styleId="ae">
    <w:name w:val="List Paragraph"/>
    <w:basedOn w:val="a"/>
    <w:uiPriority w:val="34"/>
    <w:qFormat/>
    <w:rsid w:val="00E773E2"/>
    <w:pPr>
      <w:ind w:left="720"/>
      <w:contextualSpacing/>
    </w:pPr>
  </w:style>
  <w:style w:type="character" w:styleId="Hyperlink">
    <w:name w:val="Hyperlink"/>
    <w:basedOn w:val="a0"/>
    <w:uiPriority w:val="99"/>
    <w:semiHidden/>
    <w:unhideWhenUsed/>
    <w:rsid w:val="00A91032"/>
    <w:rPr>
      <w:color w:val="0000FF"/>
      <w:u w:val="single"/>
    </w:rPr>
  </w:style>
  <w:style w:type="paragraph" w:styleId="af">
    <w:name w:val="Title"/>
    <w:basedOn w:val="a"/>
    <w:link w:val="af0"/>
    <w:qFormat/>
    <w:rsid w:val="000232B9"/>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f0">
    <w:name w:val="כותרת טקסט תו"/>
    <w:basedOn w:val="a0"/>
    <w:link w:val="af"/>
    <w:rsid w:val="000232B9"/>
    <w:rPr>
      <w:b/>
      <w:bCs/>
      <w:szCs w:val="28"/>
      <w:u w:val="single"/>
      <w:shd w:val="pct20" w:color="auto" w:fill="FFFFFF"/>
      <w:lang w:eastAsia="he-IL"/>
    </w:rPr>
  </w:style>
  <w:style w:type="paragraph" w:customStyle="1" w:styleId="10">
    <w:name w:val="פיסקת רשימה1"/>
    <w:basedOn w:val="a"/>
    <w:qFormat/>
    <w:rsid w:val="000232B9"/>
    <w:pPr>
      <w:ind w:left="720"/>
      <w:contextualSpacing/>
    </w:pPr>
  </w:style>
  <w:style w:type="character" w:styleId="af1">
    <w:name w:val="Strong"/>
    <w:basedOn w:val="a0"/>
    <w:qFormat/>
    <w:rsid w:val="009B7706"/>
    <w:rPr>
      <w:b/>
      <w:bCs/>
    </w:rPr>
  </w:style>
  <w:style w:type="character" w:customStyle="1" w:styleId="a4">
    <w:name w:val="כותרת עליונה תו"/>
    <w:basedOn w:val="a0"/>
    <w:link w:val="a3"/>
    <w:uiPriority w:val="99"/>
    <w:rsid w:val="00630366"/>
    <w:rPr>
      <w:rFonts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0211">
      <w:bodyDiv w:val="1"/>
      <w:marLeft w:val="0"/>
      <w:marRight w:val="0"/>
      <w:marTop w:val="0"/>
      <w:marBottom w:val="0"/>
      <w:divBdr>
        <w:top w:val="none" w:sz="0" w:space="0" w:color="auto"/>
        <w:left w:val="none" w:sz="0" w:space="0" w:color="auto"/>
        <w:bottom w:val="none" w:sz="0" w:space="0" w:color="auto"/>
        <w:right w:val="none" w:sz="0" w:space="0" w:color="auto"/>
      </w:divBdr>
    </w:div>
    <w:div w:id="14962846">
      <w:bodyDiv w:val="1"/>
      <w:marLeft w:val="0"/>
      <w:marRight w:val="0"/>
      <w:marTop w:val="0"/>
      <w:marBottom w:val="0"/>
      <w:divBdr>
        <w:top w:val="none" w:sz="0" w:space="0" w:color="auto"/>
        <w:left w:val="none" w:sz="0" w:space="0" w:color="auto"/>
        <w:bottom w:val="none" w:sz="0" w:space="0" w:color="auto"/>
        <w:right w:val="none" w:sz="0" w:space="0" w:color="auto"/>
      </w:divBdr>
    </w:div>
    <w:div w:id="38435913">
      <w:bodyDiv w:val="1"/>
      <w:marLeft w:val="0"/>
      <w:marRight w:val="0"/>
      <w:marTop w:val="0"/>
      <w:marBottom w:val="0"/>
      <w:divBdr>
        <w:top w:val="none" w:sz="0" w:space="0" w:color="auto"/>
        <w:left w:val="none" w:sz="0" w:space="0" w:color="auto"/>
        <w:bottom w:val="none" w:sz="0" w:space="0" w:color="auto"/>
        <w:right w:val="none" w:sz="0" w:space="0" w:color="auto"/>
      </w:divBdr>
    </w:div>
    <w:div w:id="42563713">
      <w:bodyDiv w:val="1"/>
      <w:marLeft w:val="0"/>
      <w:marRight w:val="0"/>
      <w:marTop w:val="0"/>
      <w:marBottom w:val="0"/>
      <w:divBdr>
        <w:top w:val="none" w:sz="0" w:space="0" w:color="auto"/>
        <w:left w:val="none" w:sz="0" w:space="0" w:color="auto"/>
        <w:bottom w:val="none" w:sz="0" w:space="0" w:color="auto"/>
        <w:right w:val="none" w:sz="0" w:space="0" w:color="auto"/>
      </w:divBdr>
    </w:div>
    <w:div w:id="56126321">
      <w:bodyDiv w:val="1"/>
      <w:marLeft w:val="0"/>
      <w:marRight w:val="0"/>
      <w:marTop w:val="0"/>
      <w:marBottom w:val="0"/>
      <w:divBdr>
        <w:top w:val="none" w:sz="0" w:space="0" w:color="auto"/>
        <w:left w:val="none" w:sz="0" w:space="0" w:color="auto"/>
        <w:bottom w:val="none" w:sz="0" w:space="0" w:color="auto"/>
        <w:right w:val="none" w:sz="0" w:space="0" w:color="auto"/>
      </w:divBdr>
    </w:div>
    <w:div w:id="86536555">
      <w:bodyDiv w:val="1"/>
      <w:marLeft w:val="0"/>
      <w:marRight w:val="0"/>
      <w:marTop w:val="0"/>
      <w:marBottom w:val="0"/>
      <w:divBdr>
        <w:top w:val="none" w:sz="0" w:space="0" w:color="auto"/>
        <w:left w:val="none" w:sz="0" w:space="0" w:color="auto"/>
        <w:bottom w:val="none" w:sz="0" w:space="0" w:color="auto"/>
        <w:right w:val="none" w:sz="0" w:space="0" w:color="auto"/>
      </w:divBdr>
    </w:div>
    <w:div w:id="124810379">
      <w:bodyDiv w:val="1"/>
      <w:marLeft w:val="0"/>
      <w:marRight w:val="0"/>
      <w:marTop w:val="0"/>
      <w:marBottom w:val="0"/>
      <w:divBdr>
        <w:top w:val="none" w:sz="0" w:space="0" w:color="auto"/>
        <w:left w:val="none" w:sz="0" w:space="0" w:color="auto"/>
        <w:bottom w:val="none" w:sz="0" w:space="0" w:color="auto"/>
        <w:right w:val="none" w:sz="0" w:space="0" w:color="auto"/>
      </w:divBdr>
    </w:div>
    <w:div w:id="141777875">
      <w:bodyDiv w:val="1"/>
      <w:marLeft w:val="0"/>
      <w:marRight w:val="0"/>
      <w:marTop w:val="0"/>
      <w:marBottom w:val="0"/>
      <w:divBdr>
        <w:top w:val="none" w:sz="0" w:space="0" w:color="auto"/>
        <w:left w:val="none" w:sz="0" w:space="0" w:color="auto"/>
        <w:bottom w:val="none" w:sz="0" w:space="0" w:color="auto"/>
        <w:right w:val="none" w:sz="0" w:space="0" w:color="auto"/>
      </w:divBdr>
    </w:div>
    <w:div w:id="179509822">
      <w:bodyDiv w:val="1"/>
      <w:marLeft w:val="0"/>
      <w:marRight w:val="0"/>
      <w:marTop w:val="0"/>
      <w:marBottom w:val="0"/>
      <w:divBdr>
        <w:top w:val="none" w:sz="0" w:space="0" w:color="auto"/>
        <w:left w:val="none" w:sz="0" w:space="0" w:color="auto"/>
        <w:bottom w:val="none" w:sz="0" w:space="0" w:color="auto"/>
        <w:right w:val="none" w:sz="0" w:space="0" w:color="auto"/>
      </w:divBdr>
    </w:div>
    <w:div w:id="284652940">
      <w:bodyDiv w:val="1"/>
      <w:marLeft w:val="0"/>
      <w:marRight w:val="0"/>
      <w:marTop w:val="0"/>
      <w:marBottom w:val="0"/>
      <w:divBdr>
        <w:top w:val="none" w:sz="0" w:space="0" w:color="auto"/>
        <w:left w:val="none" w:sz="0" w:space="0" w:color="auto"/>
        <w:bottom w:val="none" w:sz="0" w:space="0" w:color="auto"/>
        <w:right w:val="none" w:sz="0" w:space="0" w:color="auto"/>
      </w:divBdr>
    </w:div>
    <w:div w:id="289676575">
      <w:bodyDiv w:val="1"/>
      <w:marLeft w:val="0"/>
      <w:marRight w:val="0"/>
      <w:marTop w:val="0"/>
      <w:marBottom w:val="0"/>
      <w:divBdr>
        <w:top w:val="none" w:sz="0" w:space="0" w:color="auto"/>
        <w:left w:val="none" w:sz="0" w:space="0" w:color="auto"/>
        <w:bottom w:val="none" w:sz="0" w:space="0" w:color="auto"/>
        <w:right w:val="none" w:sz="0" w:space="0" w:color="auto"/>
      </w:divBdr>
    </w:div>
    <w:div w:id="340547758">
      <w:bodyDiv w:val="1"/>
      <w:marLeft w:val="0"/>
      <w:marRight w:val="0"/>
      <w:marTop w:val="0"/>
      <w:marBottom w:val="0"/>
      <w:divBdr>
        <w:top w:val="none" w:sz="0" w:space="0" w:color="auto"/>
        <w:left w:val="none" w:sz="0" w:space="0" w:color="auto"/>
        <w:bottom w:val="none" w:sz="0" w:space="0" w:color="auto"/>
        <w:right w:val="none" w:sz="0" w:space="0" w:color="auto"/>
      </w:divBdr>
    </w:div>
    <w:div w:id="373047588">
      <w:bodyDiv w:val="1"/>
      <w:marLeft w:val="0"/>
      <w:marRight w:val="0"/>
      <w:marTop w:val="0"/>
      <w:marBottom w:val="0"/>
      <w:divBdr>
        <w:top w:val="none" w:sz="0" w:space="0" w:color="auto"/>
        <w:left w:val="none" w:sz="0" w:space="0" w:color="auto"/>
        <w:bottom w:val="none" w:sz="0" w:space="0" w:color="auto"/>
        <w:right w:val="none" w:sz="0" w:space="0" w:color="auto"/>
      </w:divBdr>
    </w:div>
    <w:div w:id="420491260">
      <w:bodyDiv w:val="1"/>
      <w:marLeft w:val="0"/>
      <w:marRight w:val="0"/>
      <w:marTop w:val="0"/>
      <w:marBottom w:val="0"/>
      <w:divBdr>
        <w:top w:val="none" w:sz="0" w:space="0" w:color="auto"/>
        <w:left w:val="none" w:sz="0" w:space="0" w:color="auto"/>
        <w:bottom w:val="none" w:sz="0" w:space="0" w:color="auto"/>
        <w:right w:val="none" w:sz="0" w:space="0" w:color="auto"/>
      </w:divBdr>
    </w:div>
    <w:div w:id="446313747">
      <w:bodyDiv w:val="1"/>
      <w:marLeft w:val="0"/>
      <w:marRight w:val="0"/>
      <w:marTop w:val="0"/>
      <w:marBottom w:val="0"/>
      <w:divBdr>
        <w:top w:val="none" w:sz="0" w:space="0" w:color="auto"/>
        <w:left w:val="none" w:sz="0" w:space="0" w:color="auto"/>
        <w:bottom w:val="none" w:sz="0" w:space="0" w:color="auto"/>
        <w:right w:val="none" w:sz="0" w:space="0" w:color="auto"/>
      </w:divBdr>
    </w:div>
    <w:div w:id="462694620">
      <w:bodyDiv w:val="1"/>
      <w:marLeft w:val="0"/>
      <w:marRight w:val="0"/>
      <w:marTop w:val="0"/>
      <w:marBottom w:val="0"/>
      <w:divBdr>
        <w:top w:val="none" w:sz="0" w:space="0" w:color="auto"/>
        <w:left w:val="none" w:sz="0" w:space="0" w:color="auto"/>
        <w:bottom w:val="none" w:sz="0" w:space="0" w:color="auto"/>
        <w:right w:val="none" w:sz="0" w:space="0" w:color="auto"/>
      </w:divBdr>
    </w:div>
    <w:div w:id="484399063">
      <w:bodyDiv w:val="1"/>
      <w:marLeft w:val="0"/>
      <w:marRight w:val="0"/>
      <w:marTop w:val="0"/>
      <w:marBottom w:val="0"/>
      <w:divBdr>
        <w:top w:val="none" w:sz="0" w:space="0" w:color="auto"/>
        <w:left w:val="none" w:sz="0" w:space="0" w:color="auto"/>
        <w:bottom w:val="none" w:sz="0" w:space="0" w:color="auto"/>
        <w:right w:val="none" w:sz="0" w:space="0" w:color="auto"/>
      </w:divBdr>
    </w:div>
    <w:div w:id="568880261">
      <w:bodyDiv w:val="1"/>
      <w:marLeft w:val="0"/>
      <w:marRight w:val="0"/>
      <w:marTop w:val="0"/>
      <w:marBottom w:val="0"/>
      <w:divBdr>
        <w:top w:val="none" w:sz="0" w:space="0" w:color="auto"/>
        <w:left w:val="none" w:sz="0" w:space="0" w:color="auto"/>
        <w:bottom w:val="none" w:sz="0" w:space="0" w:color="auto"/>
        <w:right w:val="none" w:sz="0" w:space="0" w:color="auto"/>
      </w:divBdr>
    </w:div>
    <w:div w:id="696781263">
      <w:bodyDiv w:val="1"/>
      <w:marLeft w:val="0"/>
      <w:marRight w:val="0"/>
      <w:marTop w:val="0"/>
      <w:marBottom w:val="0"/>
      <w:divBdr>
        <w:top w:val="none" w:sz="0" w:space="0" w:color="auto"/>
        <w:left w:val="none" w:sz="0" w:space="0" w:color="auto"/>
        <w:bottom w:val="none" w:sz="0" w:space="0" w:color="auto"/>
        <w:right w:val="none" w:sz="0" w:space="0" w:color="auto"/>
      </w:divBdr>
    </w:div>
    <w:div w:id="787547099">
      <w:bodyDiv w:val="1"/>
      <w:marLeft w:val="0"/>
      <w:marRight w:val="0"/>
      <w:marTop w:val="0"/>
      <w:marBottom w:val="0"/>
      <w:divBdr>
        <w:top w:val="none" w:sz="0" w:space="0" w:color="auto"/>
        <w:left w:val="none" w:sz="0" w:space="0" w:color="auto"/>
        <w:bottom w:val="none" w:sz="0" w:space="0" w:color="auto"/>
        <w:right w:val="none" w:sz="0" w:space="0" w:color="auto"/>
      </w:divBdr>
    </w:div>
    <w:div w:id="852721272">
      <w:bodyDiv w:val="1"/>
      <w:marLeft w:val="0"/>
      <w:marRight w:val="0"/>
      <w:marTop w:val="0"/>
      <w:marBottom w:val="0"/>
      <w:divBdr>
        <w:top w:val="none" w:sz="0" w:space="0" w:color="auto"/>
        <w:left w:val="none" w:sz="0" w:space="0" w:color="auto"/>
        <w:bottom w:val="none" w:sz="0" w:space="0" w:color="auto"/>
        <w:right w:val="none" w:sz="0" w:space="0" w:color="auto"/>
      </w:divBdr>
    </w:div>
    <w:div w:id="856775492">
      <w:bodyDiv w:val="1"/>
      <w:marLeft w:val="0"/>
      <w:marRight w:val="0"/>
      <w:marTop w:val="0"/>
      <w:marBottom w:val="0"/>
      <w:divBdr>
        <w:top w:val="none" w:sz="0" w:space="0" w:color="auto"/>
        <w:left w:val="none" w:sz="0" w:space="0" w:color="auto"/>
        <w:bottom w:val="none" w:sz="0" w:space="0" w:color="auto"/>
        <w:right w:val="none" w:sz="0" w:space="0" w:color="auto"/>
      </w:divBdr>
    </w:div>
    <w:div w:id="919824670">
      <w:bodyDiv w:val="1"/>
      <w:marLeft w:val="0"/>
      <w:marRight w:val="0"/>
      <w:marTop w:val="0"/>
      <w:marBottom w:val="0"/>
      <w:divBdr>
        <w:top w:val="none" w:sz="0" w:space="0" w:color="auto"/>
        <w:left w:val="none" w:sz="0" w:space="0" w:color="auto"/>
        <w:bottom w:val="none" w:sz="0" w:space="0" w:color="auto"/>
        <w:right w:val="none" w:sz="0" w:space="0" w:color="auto"/>
      </w:divBdr>
    </w:div>
    <w:div w:id="996034384">
      <w:bodyDiv w:val="1"/>
      <w:marLeft w:val="0"/>
      <w:marRight w:val="0"/>
      <w:marTop w:val="0"/>
      <w:marBottom w:val="0"/>
      <w:divBdr>
        <w:top w:val="none" w:sz="0" w:space="0" w:color="auto"/>
        <w:left w:val="none" w:sz="0" w:space="0" w:color="auto"/>
        <w:bottom w:val="none" w:sz="0" w:space="0" w:color="auto"/>
        <w:right w:val="none" w:sz="0" w:space="0" w:color="auto"/>
      </w:divBdr>
    </w:div>
    <w:div w:id="1029767396">
      <w:bodyDiv w:val="1"/>
      <w:marLeft w:val="0"/>
      <w:marRight w:val="0"/>
      <w:marTop w:val="0"/>
      <w:marBottom w:val="0"/>
      <w:divBdr>
        <w:top w:val="none" w:sz="0" w:space="0" w:color="auto"/>
        <w:left w:val="none" w:sz="0" w:space="0" w:color="auto"/>
        <w:bottom w:val="none" w:sz="0" w:space="0" w:color="auto"/>
        <w:right w:val="none" w:sz="0" w:space="0" w:color="auto"/>
      </w:divBdr>
    </w:div>
    <w:div w:id="1039206738">
      <w:bodyDiv w:val="1"/>
      <w:marLeft w:val="0"/>
      <w:marRight w:val="0"/>
      <w:marTop w:val="0"/>
      <w:marBottom w:val="0"/>
      <w:divBdr>
        <w:top w:val="none" w:sz="0" w:space="0" w:color="auto"/>
        <w:left w:val="none" w:sz="0" w:space="0" w:color="auto"/>
        <w:bottom w:val="none" w:sz="0" w:space="0" w:color="auto"/>
        <w:right w:val="none" w:sz="0" w:space="0" w:color="auto"/>
      </w:divBdr>
    </w:div>
    <w:div w:id="1079909691">
      <w:bodyDiv w:val="1"/>
      <w:marLeft w:val="0"/>
      <w:marRight w:val="0"/>
      <w:marTop w:val="0"/>
      <w:marBottom w:val="0"/>
      <w:divBdr>
        <w:top w:val="none" w:sz="0" w:space="0" w:color="auto"/>
        <w:left w:val="none" w:sz="0" w:space="0" w:color="auto"/>
        <w:bottom w:val="none" w:sz="0" w:space="0" w:color="auto"/>
        <w:right w:val="none" w:sz="0" w:space="0" w:color="auto"/>
      </w:divBdr>
    </w:div>
    <w:div w:id="1108964179">
      <w:bodyDiv w:val="1"/>
      <w:marLeft w:val="0"/>
      <w:marRight w:val="0"/>
      <w:marTop w:val="0"/>
      <w:marBottom w:val="0"/>
      <w:divBdr>
        <w:top w:val="none" w:sz="0" w:space="0" w:color="auto"/>
        <w:left w:val="none" w:sz="0" w:space="0" w:color="auto"/>
        <w:bottom w:val="none" w:sz="0" w:space="0" w:color="auto"/>
        <w:right w:val="none" w:sz="0" w:space="0" w:color="auto"/>
      </w:divBdr>
    </w:div>
    <w:div w:id="1139616275">
      <w:bodyDiv w:val="1"/>
      <w:marLeft w:val="0"/>
      <w:marRight w:val="0"/>
      <w:marTop w:val="0"/>
      <w:marBottom w:val="0"/>
      <w:divBdr>
        <w:top w:val="none" w:sz="0" w:space="0" w:color="auto"/>
        <w:left w:val="none" w:sz="0" w:space="0" w:color="auto"/>
        <w:bottom w:val="none" w:sz="0" w:space="0" w:color="auto"/>
        <w:right w:val="none" w:sz="0" w:space="0" w:color="auto"/>
      </w:divBdr>
    </w:div>
    <w:div w:id="1157380665">
      <w:bodyDiv w:val="1"/>
      <w:marLeft w:val="0"/>
      <w:marRight w:val="0"/>
      <w:marTop w:val="0"/>
      <w:marBottom w:val="0"/>
      <w:divBdr>
        <w:top w:val="none" w:sz="0" w:space="0" w:color="auto"/>
        <w:left w:val="none" w:sz="0" w:space="0" w:color="auto"/>
        <w:bottom w:val="none" w:sz="0" w:space="0" w:color="auto"/>
        <w:right w:val="none" w:sz="0" w:space="0" w:color="auto"/>
      </w:divBdr>
    </w:div>
    <w:div w:id="1180506573">
      <w:bodyDiv w:val="1"/>
      <w:marLeft w:val="0"/>
      <w:marRight w:val="0"/>
      <w:marTop w:val="0"/>
      <w:marBottom w:val="0"/>
      <w:divBdr>
        <w:top w:val="none" w:sz="0" w:space="0" w:color="auto"/>
        <w:left w:val="none" w:sz="0" w:space="0" w:color="auto"/>
        <w:bottom w:val="none" w:sz="0" w:space="0" w:color="auto"/>
        <w:right w:val="none" w:sz="0" w:space="0" w:color="auto"/>
      </w:divBdr>
    </w:div>
    <w:div w:id="1225406654">
      <w:bodyDiv w:val="1"/>
      <w:marLeft w:val="0"/>
      <w:marRight w:val="0"/>
      <w:marTop w:val="0"/>
      <w:marBottom w:val="0"/>
      <w:divBdr>
        <w:top w:val="none" w:sz="0" w:space="0" w:color="auto"/>
        <w:left w:val="none" w:sz="0" w:space="0" w:color="auto"/>
        <w:bottom w:val="none" w:sz="0" w:space="0" w:color="auto"/>
        <w:right w:val="none" w:sz="0" w:space="0" w:color="auto"/>
      </w:divBdr>
    </w:div>
    <w:div w:id="1253122580">
      <w:bodyDiv w:val="1"/>
      <w:marLeft w:val="0"/>
      <w:marRight w:val="0"/>
      <w:marTop w:val="0"/>
      <w:marBottom w:val="0"/>
      <w:divBdr>
        <w:top w:val="none" w:sz="0" w:space="0" w:color="auto"/>
        <w:left w:val="none" w:sz="0" w:space="0" w:color="auto"/>
        <w:bottom w:val="none" w:sz="0" w:space="0" w:color="auto"/>
        <w:right w:val="none" w:sz="0" w:space="0" w:color="auto"/>
      </w:divBdr>
    </w:div>
    <w:div w:id="1260992160">
      <w:bodyDiv w:val="1"/>
      <w:marLeft w:val="0"/>
      <w:marRight w:val="0"/>
      <w:marTop w:val="0"/>
      <w:marBottom w:val="0"/>
      <w:divBdr>
        <w:top w:val="none" w:sz="0" w:space="0" w:color="auto"/>
        <w:left w:val="none" w:sz="0" w:space="0" w:color="auto"/>
        <w:bottom w:val="none" w:sz="0" w:space="0" w:color="auto"/>
        <w:right w:val="none" w:sz="0" w:space="0" w:color="auto"/>
      </w:divBdr>
    </w:div>
    <w:div w:id="126853925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71152065">
      <w:bodyDiv w:val="1"/>
      <w:marLeft w:val="0"/>
      <w:marRight w:val="0"/>
      <w:marTop w:val="0"/>
      <w:marBottom w:val="0"/>
      <w:divBdr>
        <w:top w:val="none" w:sz="0" w:space="0" w:color="auto"/>
        <w:left w:val="none" w:sz="0" w:space="0" w:color="auto"/>
        <w:bottom w:val="none" w:sz="0" w:space="0" w:color="auto"/>
        <w:right w:val="none" w:sz="0" w:space="0" w:color="auto"/>
      </w:divBdr>
    </w:div>
    <w:div w:id="1392457250">
      <w:bodyDiv w:val="1"/>
      <w:marLeft w:val="0"/>
      <w:marRight w:val="0"/>
      <w:marTop w:val="0"/>
      <w:marBottom w:val="0"/>
      <w:divBdr>
        <w:top w:val="none" w:sz="0" w:space="0" w:color="auto"/>
        <w:left w:val="none" w:sz="0" w:space="0" w:color="auto"/>
        <w:bottom w:val="none" w:sz="0" w:space="0" w:color="auto"/>
        <w:right w:val="none" w:sz="0" w:space="0" w:color="auto"/>
      </w:divBdr>
    </w:div>
    <w:div w:id="1414274087">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43306632">
      <w:bodyDiv w:val="1"/>
      <w:marLeft w:val="0"/>
      <w:marRight w:val="0"/>
      <w:marTop w:val="0"/>
      <w:marBottom w:val="0"/>
      <w:divBdr>
        <w:top w:val="none" w:sz="0" w:space="0" w:color="auto"/>
        <w:left w:val="none" w:sz="0" w:space="0" w:color="auto"/>
        <w:bottom w:val="none" w:sz="0" w:space="0" w:color="auto"/>
        <w:right w:val="none" w:sz="0" w:space="0" w:color="auto"/>
      </w:divBdr>
    </w:div>
    <w:div w:id="1520269952">
      <w:bodyDiv w:val="1"/>
      <w:marLeft w:val="0"/>
      <w:marRight w:val="0"/>
      <w:marTop w:val="0"/>
      <w:marBottom w:val="0"/>
      <w:divBdr>
        <w:top w:val="none" w:sz="0" w:space="0" w:color="auto"/>
        <w:left w:val="none" w:sz="0" w:space="0" w:color="auto"/>
        <w:bottom w:val="none" w:sz="0" w:space="0" w:color="auto"/>
        <w:right w:val="none" w:sz="0" w:space="0" w:color="auto"/>
      </w:divBdr>
    </w:div>
    <w:div w:id="1635451388">
      <w:bodyDiv w:val="1"/>
      <w:marLeft w:val="0"/>
      <w:marRight w:val="0"/>
      <w:marTop w:val="0"/>
      <w:marBottom w:val="0"/>
      <w:divBdr>
        <w:top w:val="none" w:sz="0" w:space="0" w:color="auto"/>
        <w:left w:val="none" w:sz="0" w:space="0" w:color="auto"/>
        <w:bottom w:val="none" w:sz="0" w:space="0" w:color="auto"/>
        <w:right w:val="none" w:sz="0" w:space="0" w:color="auto"/>
      </w:divBdr>
    </w:div>
    <w:div w:id="164627948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01122993">
      <w:bodyDiv w:val="1"/>
      <w:marLeft w:val="0"/>
      <w:marRight w:val="0"/>
      <w:marTop w:val="0"/>
      <w:marBottom w:val="0"/>
      <w:divBdr>
        <w:top w:val="none" w:sz="0" w:space="0" w:color="auto"/>
        <w:left w:val="none" w:sz="0" w:space="0" w:color="auto"/>
        <w:bottom w:val="none" w:sz="0" w:space="0" w:color="auto"/>
        <w:right w:val="none" w:sz="0" w:space="0" w:color="auto"/>
      </w:divBdr>
    </w:div>
    <w:div w:id="1714184651">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57902553">
      <w:bodyDiv w:val="1"/>
      <w:marLeft w:val="0"/>
      <w:marRight w:val="0"/>
      <w:marTop w:val="0"/>
      <w:marBottom w:val="0"/>
      <w:divBdr>
        <w:top w:val="none" w:sz="0" w:space="0" w:color="auto"/>
        <w:left w:val="none" w:sz="0" w:space="0" w:color="auto"/>
        <w:bottom w:val="none" w:sz="0" w:space="0" w:color="auto"/>
        <w:right w:val="none" w:sz="0" w:space="0" w:color="auto"/>
      </w:divBdr>
    </w:div>
    <w:div w:id="1803842504">
      <w:bodyDiv w:val="1"/>
      <w:marLeft w:val="0"/>
      <w:marRight w:val="0"/>
      <w:marTop w:val="0"/>
      <w:marBottom w:val="0"/>
      <w:divBdr>
        <w:top w:val="none" w:sz="0" w:space="0" w:color="auto"/>
        <w:left w:val="none" w:sz="0" w:space="0" w:color="auto"/>
        <w:bottom w:val="none" w:sz="0" w:space="0" w:color="auto"/>
        <w:right w:val="none" w:sz="0" w:space="0" w:color="auto"/>
      </w:divBdr>
    </w:div>
    <w:div w:id="1900088197">
      <w:bodyDiv w:val="1"/>
      <w:marLeft w:val="0"/>
      <w:marRight w:val="0"/>
      <w:marTop w:val="0"/>
      <w:marBottom w:val="0"/>
      <w:divBdr>
        <w:top w:val="none" w:sz="0" w:space="0" w:color="auto"/>
        <w:left w:val="none" w:sz="0" w:space="0" w:color="auto"/>
        <w:bottom w:val="none" w:sz="0" w:space="0" w:color="auto"/>
        <w:right w:val="none" w:sz="0" w:space="0" w:color="auto"/>
      </w:divBdr>
    </w:div>
    <w:div w:id="1979604037">
      <w:bodyDiv w:val="1"/>
      <w:marLeft w:val="0"/>
      <w:marRight w:val="0"/>
      <w:marTop w:val="0"/>
      <w:marBottom w:val="0"/>
      <w:divBdr>
        <w:top w:val="none" w:sz="0" w:space="0" w:color="auto"/>
        <w:left w:val="none" w:sz="0" w:space="0" w:color="auto"/>
        <w:bottom w:val="none" w:sz="0" w:space="0" w:color="auto"/>
        <w:right w:val="none" w:sz="0" w:space="0" w:color="auto"/>
      </w:divBdr>
    </w:div>
    <w:div w:id="210810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A5B73-927D-49A0-93EF-02FB4F337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1485</Words>
  <Characters>7429</Characters>
  <Application>Microsoft Office Word</Application>
  <DocSecurity>0</DocSecurity>
  <Lines>61</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2023-08-17T07:13:00Z</dcterms:created>
  <dcterms:modified xsi:type="dcterms:W3CDTF">2023-08-17T07:13:00Z</dcterms:modified>
</cp:coreProperties>
</file>